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D265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A9E51F">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3C7A589">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047C8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33EB0B5">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7DEEAE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70DCF86">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7DE63B4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2"/>
          </w:p>
        </w:tc>
      </w:tr>
    </w:tbl>
    <w:p w14:paraId="38076762">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F15E349">
      <w:pPr>
        <w:pStyle w:val="198"/>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5BD2256">
      <w:pPr>
        <w:pStyle w:val="199"/>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3DB2DA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A728B60">
      <w:pPr>
        <w:pStyle w:val="53"/>
        <w:framePr w:w="9639" w:h="6976" w:hRule="exact" w:hSpace="0" w:vSpace="0" w:wrap="around" w:hAnchor="page" w:y="6408"/>
        <w:jc w:val="center"/>
        <w:rPr>
          <w:rFonts w:hint="eastAsia" w:ascii="黑体" w:hAnsi="黑体" w:eastAsia="黑体"/>
          <w:b w:val="0"/>
          <w:bCs w:val="0"/>
          <w:w w:val="100"/>
        </w:rPr>
      </w:pPr>
    </w:p>
    <w:p w14:paraId="3759AE74">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香蕉全产业链标准综合体 </w:t>
      </w:r>
    </w:p>
    <w:p w14:paraId="0686640C">
      <w:pPr>
        <w:pStyle w:val="200"/>
        <w:framePr w:h="6974" w:hRule="exact" w:wrap="around" w:x="1419" w:anchorLock="1"/>
        <w:rPr>
          <w:rFonts w:hint="eastAsia"/>
        </w:rPr>
      </w:pPr>
      <w:r>
        <w:rPr>
          <w:rFonts w:hint="eastAsia"/>
        </w:rPr>
        <w:t>第2部分：种苗</w:t>
      </w:r>
      <w:r>
        <w:fldChar w:fldCharType="end"/>
      </w:r>
      <w:bookmarkEnd w:id="9"/>
    </w:p>
    <w:p w14:paraId="6CB8D3E8">
      <w:pPr>
        <w:framePr w:w="9639" w:h="6974" w:hRule="exact" w:wrap="around" w:vAnchor="page" w:hAnchor="page" w:x="1419" w:y="6408" w:anchorLock="1"/>
        <w:ind w:left="-1418"/>
      </w:pPr>
    </w:p>
    <w:p w14:paraId="09A66A4A">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Banana industry chain standard-complex</w:t>
      </w:r>
    </w:p>
    <w:p w14:paraId="504847DD">
      <w:pPr>
        <w:pStyle w:val="128"/>
        <w:framePr w:w="9639" w:h="6974" w:hRule="exact" w:wrap="around" w:vAnchor="page" w:hAnchor="page" w:x="1419" w:y="6408" w:anchorLock="1"/>
        <w:textAlignment w:val="bottom"/>
        <w:rPr>
          <w:rFonts w:eastAsia="黑体"/>
          <w:szCs w:val="28"/>
        </w:rPr>
      </w:pPr>
      <w:r>
        <w:rPr>
          <w:rFonts w:hint="eastAsia" w:eastAsia="黑体"/>
          <w:szCs w:val="28"/>
        </w:rPr>
        <w:t>Part 2</w:t>
      </w:r>
      <w:r>
        <w:rPr>
          <w:rFonts w:eastAsia="黑体"/>
          <w:szCs w:val="28"/>
        </w:rPr>
        <w:t>:seedling</w:t>
      </w:r>
    </w:p>
    <w:p w14:paraId="7FF9BEDA">
      <w:pPr>
        <w:pStyle w:val="128"/>
        <w:framePr w:w="9639" w:h="6974" w:hRule="exact" w:wrap="around" w:vAnchor="page" w:hAnchor="page" w:x="1419" w:y="6408" w:anchorLock="1"/>
        <w:textAlignment w:val="bottom"/>
        <w:rPr>
          <w:rFonts w:eastAsia="黑体"/>
          <w:szCs w:val="28"/>
        </w:rPr>
      </w:pPr>
    </w:p>
    <w:p w14:paraId="2B1B9BAC">
      <w:pPr>
        <w:pStyle w:val="128"/>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5D2FCD4E">
      <w:pPr>
        <w:framePr w:w="9639" w:h="6974" w:hRule="exact" w:wrap="around" w:vAnchor="page" w:hAnchor="page" w:x="1419" w:y="6408" w:anchorLock="1"/>
        <w:spacing w:line="760" w:lineRule="exact"/>
        <w:ind w:left="-1418"/>
      </w:pPr>
    </w:p>
    <w:p w14:paraId="0DE40F8B">
      <w:pPr>
        <w:pStyle w:val="128"/>
        <w:framePr w:w="9639" w:h="6974" w:hRule="exact" w:wrap="around" w:vAnchor="page" w:hAnchor="page" w:x="1419" w:y="6408" w:anchorLock="1"/>
        <w:textAlignment w:val="bottom"/>
        <w:rPr>
          <w:rFonts w:eastAsia="黑体"/>
          <w:szCs w:val="28"/>
        </w:rPr>
      </w:pPr>
    </w:p>
    <w:p w14:paraId="0134F1AF">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728842A">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86324F0">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E8CDCC9">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CFEDD70">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8820A67">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FD5B68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4C76FB2">
      <w:pPr>
        <w:pStyle w:val="92"/>
        <w:spacing w:before="900" w:after="360"/>
      </w:pPr>
      <w:bookmarkStart w:id="21" w:name="BookMark2"/>
      <w:r>
        <w:rPr>
          <w:spacing w:val="320"/>
        </w:rPr>
        <w:t>前</w:t>
      </w:r>
      <w:r>
        <w:t>言</w:t>
      </w:r>
    </w:p>
    <w:p w14:paraId="3214CAD1">
      <w:pPr>
        <w:pStyle w:val="59"/>
        <w:spacing w:line="400" w:lineRule="atLeast"/>
        <w:ind w:firstLine="420"/>
        <w:rPr>
          <w:rFonts w:ascii="Times New Roman"/>
        </w:rPr>
      </w:pPr>
      <w:r>
        <w:rPr>
          <w:rFonts w:ascii="Times New Roman"/>
        </w:rPr>
        <w:t>本文件按照 GB/T 1.1—2020《标准化工作导则  第 1 部分：标准化文件的结构和起草规则》的规定起草。</w:t>
      </w:r>
    </w:p>
    <w:p w14:paraId="62B594E2">
      <w:pPr>
        <w:pStyle w:val="59"/>
        <w:spacing w:line="400" w:lineRule="atLeast"/>
        <w:ind w:firstLine="420"/>
        <w:rPr>
          <w:rFonts w:ascii="Times New Roman"/>
        </w:rPr>
      </w:pPr>
      <w:r>
        <w:rPr>
          <w:rFonts w:hint="eastAsia" w:ascii="Times New Roman"/>
        </w:rPr>
        <w:t>请注意本文件的某些内容可能涉及专利。本文件的发布机构不承担识别专利的责任。</w:t>
      </w:r>
    </w:p>
    <w:p w14:paraId="6B1D7D96">
      <w:pPr>
        <w:pStyle w:val="59"/>
        <w:spacing w:line="400" w:lineRule="atLeast"/>
        <w:ind w:firstLine="420"/>
        <w:rPr>
          <w:rFonts w:ascii="Times New Roman"/>
        </w:rPr>
      </w:pPr>
      <w:r>
        <w:rPr>
          <w:rFonts w:ascii="Times New Roman"/>
        </w:rPr>
        <w:t>本文件由</w:t>
      </w:r>
      <w:r>
        <w:rPr>
          <w:rFonts w:hint="eastAsia" w:ascii="Times New Roman"/>
        </w:rPr>
        <w:t>中国热带作物学会</w:t>
      </w:r>
      <w:r>
        <w:rPr>
          <w:rFonts w:ascii="Times New Roman"/>
        </w:rPr>
        <w:t>提出</w:t>
      </w:r>
      <w:r>
        <w:rPr>
          <w:rFonts w:hint="eastAsia" w:ascii="Times New Roman"/>
        </w:rPr>
        <w:t>并归口</w:t>
      </w:r>
      <w:r>
        <w:rPr>
          <w:rFonts w:ascii="Times New Roman"/>
        </w:rPr>
        <w:t>。</w:t>
      </w:r>
    </w:p>
    <w:p w14:paraId="6567DB60">
      <w:pPr>
        <w:pStyle w:val="59"/>
        <w:spacing w:line="400" w:lineRule="atLeast"/>
        <w:ind w:firstLine="420"/>
        <w:rPr>
          <w:rFonts w:ascii="Times New Roman"/>
        </w:rPr>
      </w:pPr>
      <w:r>
        <w:rPr>
          <w:rFonts w:hint="eastAsia" w:ascii="Times New Roman"/>
        </w:rPr>
        <w:t>本文件起草单位：广西壮族自治区农业科学院，中国热带农业科学院热带生物技术研究所，中国热带农业科学院热带作物品种资源研究所，广东省农业科学院果树研究所。</w:t>
      </w:r>
    </w:p>
    <w:p w14:paraId="5C57E3B1">
      <w:pPr>
        <w:pStyle w:val="59"/>
        <w:spacing w:line="400" w:lineRule="atLeast"/>
        <w:ind w:firstLine="420"/>
        <w:rPr>
          <w:rFonts w:ascii="Times New Roman"/>
        </w:rPr>
      </w:pPr>
      <w:r>
        <w:rPr>
          <w:rFonts w:ascii="Times New Roman"/>
        </w:rPr>
        <w:t>本文件主要起草人</w:t>
      </w:r>
      <w:r>
        <w:rPr>
          <w:rFonts w:hint="eastAsia" w:ascii="Times New Roman"/>
        </w:rPr>
        <w:t>：李小泉，苏祖祥，刘菊华，邹瑜，魏守兴，李敬阳，盛鸥。</w:t>
      </w:r>
    </w:p>
    <w:p w14:paraId="32C6D3C5">
      <w:pPr>
        <w:pStyle w:val="59"/>
        <w:ind w:firstLine="420"/>
      </w:pPr>
    </w:p>
    <w:p w14:paraId="10B6F793">
      <w:pPr>
        <w:pStyle w:val="59"/>
        <w:ind w:firstLine="42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p>
    <w:bookmarkEnd w:id="21"/>
    <w:p w14:paraId="56446F0F">
      <w:pPr>
        <w:spacing w:line="20" w:lineRule="exact"/>
        <w:jc w:val="center"/>
        <w:rPr>
          <w:rFonts w:hint="eastAsia" w:ascii="黑体" w:hAnsi="黑体" w:eastAsia="黑体"/>
          <w:sz w:val="32"/>
          <w:szCs w:val="32"/>
        </w:rPr>
      </w:pPr>
      <w:bookmarkStart w:id="22" w:name="BookMark4"/>
    </w:p>
    <w:p w14:paraId="1A65762E">
      <w:pPr>
        <w:spacing w:line="20" w:lineRule="exact"/>
        <w:jc w:val="center"/>
        <w:rPr>
          <w:rFonts w:hint="eastAsia" w:ascii="黑体" w:hAnsi="黑体" w:eastAsia="黑体"/>
          <w:sz w:val="32"/>
          <w:szCs w:val="32"/>
        </w:rPr>
      </w:pPr>
    </w:p>
    <w:sdt>
      <w:sdtPr>
        <w:tag w:val="NEW_STAND_NAME"/>
        <w:id w:val="595910757"/>
        <w:lock w:val="sdtLocked"/>
        <w:placeholder>
          <w:docPart w:val="72EB79A776454EF38B46795D84214E15"/>
        </w:placeholder>
      </w:sdtPr>
      <w:sdtContent>
        <w:p w14:paraId="4173937C">
          <w:pPr>
            <w:pStyle w:val="180"/>
            <w:rPr>
              <w:rFonts w:hint="eastAsia"/>
            </w:rPr>
          </w:pPr>
          <w:bookmarkStart w:id="23" w:name="NEW_STAND_NAME"/>
          <w:r>
            <w:rPr>
              <w:rFonts w:hint="eastAsia"/>
            </w:rPr>
            <w:t>香蕉全产业链标准 第2部分：种苗</w:t>
          </w:r>
        </w:p>
      </w:sdtContent>
    </w:sdt>
    <w:bookmarkEnd w:id="23"/>
    <w:p w14:paraId="09EDCE8C">
      <w:pPr>
        <w:pStyle w:val="107"/>
        <w:spacing w:before="240" w:after="240"/>
        <w:ind w:left="0"/>
      </w:pPr>
      <w:bookmarkStart w:id="24" w:name="_Toc26986771"/>
      <w:bookmarkStart w:id="25" w:name="_Toc97192964"/>
      <w:bookmarkStart w:id="26" w:name="_Toc26648465"/>
      <w:bookmarkStart w:id="27" w:name="_Toc26986530"/>
      <w:bookmarkStart w:id="28" w:name="_Toc24884218"/>
      <w:bookmarkStart w:id="29" w:name="_Toc17233325"/>
      <w:bookmarkStart w:id="30" w:name="_Toc24884211"/>
      <w:bookmarkStart w:id="31" w:name="_Toc17233333"/>
      <w:bookmarkStart w:id="32" w:name="_Toc26718930"/>
      <w:r>
        <w:rPr>
          <w:rFonts w:hint="eastAsia"/>
        </w:rPr>
        <w:t>范围</w:t>
      </w:r>
      <w:bookmarkEnd w:id="24"/>
      <w:bookmarkEnd w:id="25"/>
      <w:bookmarkEnd w:id="26"/>
      <w:bookmarkEnd w:id="27"/>
      <w:bookmarkEnd w:id="28"/>
      <w:bookmarkEnd w:id="29"/>
      <w:bookmarkEnd w:id="30"/>
      <w:bookmarkEnd w:id="31"/>
      <w:bookmarkEnd w:id="32"/>
    </w:p>
    <w:p w14:paraId="031983D1">
      <w:pPr>
        <w:pStyle w:val="59"/>
        <w:spacing w:line="400" w:lineRule="exact"/>
        <w:ind w:firstLine="420"/>
      </w:pPr>
      <w:bookmarkStart w:id="33" w:name="_Toc17233326"/>
      <w:bookmarkStart w:id="34" w:name="_Toc26648466"/>
      <w:bookmarkStart w:id="35" w:name="_Toc17233334"/>
      <w:bookmarkStart w:id="36" w:name="_Toc24884212"/>
      <w:bookmarkStart w:id="37" w:name="_Toc24884219"/>
      <w:r>
        <w:rPr>
          <w:rFonts w:hint="eastAsia"/>
        </w:rPr>
        <w:t>本文件规定了香蕉的种苗质量、无病毒组培苗繁育和营养杯苗管理要求。</w:t>
      </w:r>
    </w:p>
    <w:p w14:paraId="04E289D3">
      <w:pPr>
        <w:pStyle w:val="59"/>
        <w:spacing w:line="400" w:lineRule="exact"/>
        <w:ind w:firstLine="420"/>
      </w:pPr>
      <w:r>
        <w:rPr>
          <w:rFonts w:hint="eastAsia"/>
        </w:rPr>
        <w:t>本文件适用于香芽蕉和粉蕉种苗的选择和生产。</w:t>
      </w:r>
    </w:p>
    <w:p w14:paraId="01CE0D2B">
      <w:pPr>
        <w:pStyle w:val="107"/>
        <w:spacing w:before="240" w:after="240"/>
        <w:ind w:left="0"/>
      </w:pPr>
      <w:bookmarkStart w:id="38" w:name="_Toc97192965"/>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8DBE6DA">
          <w:pPr>
            <w:pStyle w:val="59"/>
            <w:spacing w:line="400" w:lineRule="exact"/>
            <w:ind w:firstLine="420"/>
            <w:rPr>
              <w:color w:val="FF0000"/>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342BA5">
      <w:pPr>
        <w:pStyle w:val="59"/>
        <w:spacing w:line="400" w:lineRule="exact"/>
        <w:ind w:firstLine="420"/>
      </w:pPr>
      <w:r>
        <w:rPr>
          <w:rFonts w:hint="eastAsia"/>
        </w:rPr>
        <w:t>NY/T 357  香蕉组培苗</w:t>
      </w:r>
    </w:p>
    <w:p w14:paraId="777B127C">
      <w:pPr>
        <w:pStyle w:val="59"/>
        <w:spacing w:line="400" w:lineRule="exact"/>
        <w:ind w:firstLine="420"/>
      </w:pPr>
      <w:r>
        <w:rPr>
          <w:rFonts w:hint="eastAsia"/>
        </w:rPr>
        <w:t>NY/T 2120  香蕉无病毒种苗生产技术规程</w:t>
      </w:r>
    </w:p>
    <w:p w14:paraId="47810C11">
      <w:pPr>
        <w:pStyle w:val="59"/>
        <w:spacing w:line="400" w:lineRule="exact"/>
        <w:ind w:firstLine="420"/>
      </w:pPr>
      <w:r>
        <w:rPr>
          <w:rFonts w:hint="eastAsia"/>
        </w:rPr>
        <w:t>NY/T 3200  香蕉种苗繁育技术规程</w:t>
      </w:r>
    </w:p>
    <w:p w14:paraId="3CB8CD1B">
      <w:pPr>
        <w:pStyle w:val="59"/>
        <w:spacing w:line="400" w:lineRule="exact"/>
        <w:ind w:firstLine="420"/>
        <w:rPr>
          <w:rFonts w:hint="eastAsia" w:eastAsia="宋体"/>
          <w:lang w:eastAsia="zh-CN"/>
        </w:rPr>
      </w:pPr>
      <w:r>
        <w:rPr>
          <w:rFonts w:hint="eastAsia"/>
        </w:rPr>
        <w:t>SN/T 5012  香蕉枯萎病菌生理小种检疫鉴定方法</w:t>
      </w:r>
      <w:bookmarkStart w:id="46" w:name="_GoBack"/>
      <w:bookmarkEnd w:id="46"/>
    </w:p>
    <w:p w14:paraId="18A151FD">
      <w:pPr>
        <w:pStyle w:val="107"/>
        <w:spacing w:before="240" w:after="240"/>
        <w:ind w:left="0"/>
      </w:pPr>
      <w:bookmarkStart w:id="42" w:name="_Toc97192966"/>
      <w:r>
        <w:rPr>
          <w:rFonts w:hint="eastAsia"/>
          <w:szCs w:val="21"/>
        </w:rPr>
        <w:t>术语和定义</w:t>
      </w:r>
      <w:bookmarkEnd w:id="42"/>
    </w:p>
    <w:sdt>
      <w:sdtPr>
        <w:id w:val="491071722"/>
        <w:placeholder>
          <w:docPart w:val="7A21B029DB454661A2539B57A4F9B4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D30DD4">
          <w:pPr>
            <w:pStyle w:val="59"/>
            <w:spacing w:line="400" w:lineRule="exact"/>
            <w:ind w:firstLine="420"/>
          </w:pPr>
          <w:bookmarkStart w:id="43" w:name="_Toc26986532"/>
          <w:bookmarkEnd w:id="43"/>
          <w:r>
            <w:rPr>
              <w:rFonts w:hint="eastAsia"/>
            </w:rPr>
            <w:t>NY/T 3200</w:t>
          </w:r>
          <w:r>
            <w:t> 界定的术语和定义适用于本文件。</w:t>
          </w:r>
        </w:p>
      </w:sdtContent>
    </w:sdt>
    <w:p w14:paraId="5EC683B0">
      <w:pPr>
        <w:pStyle w:val="107"/>
        <w:spacing w:before="240" w:after="240"/>
        <w:ind w:left="0"/>
      </w:pPr>
      <w:r>
        <w:rPr>
          <w:rFonts w:hint="eastAsia"/>
        </w:rPr>
        <w:t>种苗质量</w:t>
      </w:r>
    </w:p>
    <w:p w14:paraId="00B6D294">
      <w:pPr>
        <w:pStyle w:val="108"/>
        <w:spacing w:before="120" w:after="120"/>
        <w:ind w:left="0"/>
      </w:pPr>
      <w:r>
        <w:rPr>
          <w:rFonts w:hint="eastAsia"/>
        </w:rPr>
        <w:t>生根袋苗质量</w:t>
      </w:r>
    </w:p>
    <w:p w14:paraId="00B930DD">
      <w:pPr>
        <w:pStyle w:val="68"/>
        <w:spacing w:before="120" w:after="120"/>
      </w:pPr>
      <w:r>
        <w:rPr>
          <w:rFonts w:hint="eastAsia"/>
        </w:rPr>
        <w:t>质量要求</w:t>
      </w:r>
    </w:p>
    <w:p w14:paraId="7C493935">
      <w:pPr>
        <w:pStyle w:val="135"/>
        <w:numPr>
          <w:ilvl w:val="0"/>
          <w:numId w:val="0"/>
        </w:numPr>
        <w:spacing w:line="400" w:lineRule="exact"/>
        <w:ind w:left="850" w:hanging="425"/>
        <w:rPr>
          <w:rFonts w:hint="eastAsia"/>
        </w:rPr>
      </w:pPr>
      <w:r>
        <w:rPr>
          <w:rFonts w:hint="eastAsia"/>
        </w:rPr>
        <w:t>应满足以下要求：</w:t>
      </w:r>
    </w:p>
    <w:p w14:paraId="5B94517F">
      <w:pPr>
        <w:pStyle w:val="135"/>
        <w:spacing w:line="400" w:lineRule="exact"/>
        <w:ind w:left="850" w:hanging="425"/>
      </w:pPr>
      <w:r>
        <w:rPr>
          <w:rFonts w:hint="eastAsia"/>
        </w:rPr>
        <w:t>种源纯正、性状优良，符合品种特征；</w:t>
      </w:r>
    </w:p>
    <w:p w14:paraId="640757DA">
      <w:pPr>
        <w:pStyle w:val="135"/>
        <w:spacing w:line="400" w:lineRule="exact"/>
        <w:ind w:left="850" w:hanging="425"/>
      </w:pPr>
      <w:r>
        <w:rPr>
          <w:rFonts w:hint="eastAsia"/>
        </w:rPr>
        <w:t>品种纯度≥98</w:t>
      </w:r>
      <w:r>
        <w:t> </w:t>
      </w:r>
      <w:r>
        <w:rPr>
          <w:rFonts w:hint="eastAsia"/>
        </w:rPr>
        <w:t>%；</w:t>
      </w:r>
    </w:p>
    <w:p w14:paraId="08C22835">
      <w:pPr>
        <w:pStyle w:val="135"/>
        <w:spacing w:line="400" w:lineRule="exact"/>
        <w:ind w:left="850" w:hanging="425"/>
      </w:pPr>
      <w:r>
        <w:rPr>
          <w:rFonts w:hint="eastAsia"/>
        </w:rPr>
        <w:t>植株正常；</w:t>
      </w:r>
    </w:p>
    <w:p w14:paraId="1B8D1CD9">
      <w:pPr>
        <w:pStyle w:val="135"/>
        <w:spacing w:line="400" w:lineRule="exact"/>
        <w:ind w:left="850" w:hanging="425"/>
      </w:pPr>
      <w:r>
        <w:rPr>
          <w:rFonts w:hint="eastAsia"/>
        </w:rPr>
        <w:t>根系白、粗，且有分杈、侧根及根毛；</w:t>
      </w:r>
    </w:p>
    <w:p w14:paraId="0F986F07">
      <w:pPr>
        <w:pStyle w:val="135"/>
        <w:spacing w:line="400" w:lineRule="exact"/>
        <w:ind w:left="850" w:hanging="425"/>
      </w:pPr>
      <w:r>
        <w:rPr>
          <w:rFonts w:hint="eastAsia"/>
        </w:rPr>
        <w:t>无污染；</w:t>
      </w:r>
    </w:p>
    <w:p w14:paraId="65E809E0">
      <w:pPr>
        <w:pStyle w:val="135"/>
        <w:spacing w:line="400" w:lineRule="exact"/>
        <w:ind w:left="850" w:hanging="425"/>
      </w:pPr>
      <w:r>
        <w:rPr>
          <w:rFonts w:hint="eastAsia"/>
        </w:rPr>
        <w:t>带病毒率=0。</w:t>
      </w:r>
    </w:p>
    <w:p w14:paraId="11CFC845">
      <w:pPr>
        <w:pStyle w:val="68"/>
        <w:spacing w:before="120" w:after="120"/>
      </w:pPr>
      <w:r>
        <w:rPr>
          <w:rFonts w:hint="eastAsia"/>
        </w:rPr>
        <w:t>分级标准</w:t>
      </w:r>
    </w:p>
    <w:p w14:paraId="6B42B623">
      <w:pPr>
        <w:pStyle w:val="59"/>
        <w:ind w:firstLine="420"/>
      </w:pPr>
      <w:r>
        <w:rPr>
          <w:rFonts w:hint="eastAsia"/>
        </w:rPr>
        <w:t>在满足</w:t>
      </w:r>
      <w:r>
        <w:t> </w:t>
      </w:r>
      <w:r>
        <w:rPr>
          <w:rFonts w:hint="eastAsia"/>
        </w:rPr>
        <w:t>4.1.1</w:t>
      </w:r>
      <w:r>
        <w:t> </w:t>
      </w:r>
      <w:r>
        <w:rPr>
          <w:rFonts w:hint="eastAsia"/>
        </w:rPr>
        <w:t>要求前提下，产品分为一级和二级，分级标准按</w:t>
      </w:r>
      <w:r>
        <w:t> </w:t>
      </w:r>
      <w:r>
        <w:rPr>
          <w:rFonts w:hint="eastAsia"/>
        </w:rPr>
        <w:t>NY/T 357</w:t>
      </w:r>
      <w:r>
        <w:t> </w:t>
      </w:r>
      <w:r>
        <w:rPr>
          <w:rFonts w:hint="eastAsia"/>
        </w:rPr>
        <w:t>中</w:t>
      </w:r>
      <w:r>
        <w:t> </w:t>
      </w:r>
      <w:r>
        <w:rPr>
          <w:rFonts w:hint="eastAsia"/>
        </w:rPr>
        <w:t>4.3</w:t>
      </w:r>
      <w:r>
        <w:t> </w:t>
      </w:r>
      <w:r>
        <w:rPr>
          <w:rFonts w:hint="eastAsia"/>
        </w:rPr>
        <w:t>的要求执行，香蕉生根袋苗的等级如表</w:t>
      </w:r>
      <w:r>
        <w:t> </w:t>
      </w:r>
      <w:r>
        <w:rPr>
          <w:rFonts w:hint="eastAsia"/>
        </w:rPr>
        <w:t>1</w:t>
      </w:r>
      <w:r>
        <w:t> </w:t>
      </w:r>
      <w:r>
        <w:rPr>
          <w:rFonts w:hint="eastAsia"/>
        </w:rPr>
        <w:t>的规定。</w:t>
      </w:r>
    </w:p>
    <w:p w14:paraId="26135C78">
      <w:pPr>
        <w:pStyle w:val="59"/>
        <w:ind w:firstLine="420"/>
        <w:rPr>
          <w:rFonts w:hint="eastAsia"/>
        </w:rPr>
      </w:pPr>
    </w:p>
    <w:p w14:paraId="795249F5">
      <w:pPr>
        <w:pStyle w:val="115"/>
        <w:spacing w:before="120" w:after="120"/>
      </w:pPr>
      <w:r>
        <w:rPr>
          <w:rFonts w:hint="eastAsia"/>
        </w:rPr>
        <w:t>香蕉生根袋苗分级指标</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2"/>
        <w:gridCol w:w="3012"/>
        <w:gridCol w:w="3014"/>
      </w:tblGrid>
      <w:tr w14:paraId="4136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012" w:type="dxa"/>
            <w:vMerge w:val="restart"/>
            <w:vAlign w:val="center"/>
          </w:tcPr>
          <w:p w14:paraId="64EC35E9">
            <w:pPr>
              <w:pStyle w:val="59"/>
              <w:ind w:firstLine="0" w:firstLineChars="0"/>
              <w:jc w:val="center"/>
              <w:rPr>
                <w:rFonts w:ascii="Times New Roman"/>
                <w:sz w:val="18"/>
                <w:szCs w:val="18"/>
              </w:rPr>
            </w:pPr>
            <w:r>
              <w:rPr>
                <w:rFonts w:ascii="Times New Roman"/>
                <w:sz w:val="18"/>
                <w:szCs w:val="18"/>
              </w:rPr>
              <w:t>项目</w:t>
            </w:r>
          </w:p>
        </w:tc>
        <w:tc>
          <w:tcPr>
            <w:tcW w:w="6026" w:type="dxa"/>
            <w:gridSpan w:val="2"/>
          </w:tcPr>
          <w:p w14:paraId="54DD19DD">
            <w:pPr>
              <w:pStyle w:val="59"/>
              <w:ind w:firstLine="360"/>
              <w:jc w:val="center"/>
              <w:rPr>
                <w:rFonts w:ascii="Times New Roman"/>
                <w:sz w:val="18"/>
                <w:szCs w:val="18"/>
              </w:rPr>
            </w:pPr>
            <w:r>
              <w:rPr>
                <w:rFonts w:ascii="Times New Roman"/>
                <w:sz w:val="18"/>
                <w:szCs w:val="18"/>
              </w:rPr>
              <w:t>等级</w:t>
            </w:r>
          </w:p>
        </w:tc>
      </w:tr>
      <w:tr w14:paraId="60F02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vMerge w:val="continue"/>
          </w:tcPr>
          <w:p w14:paraId="52BEE97E">
            <w:pPr>
              <w:pStyle w:val="59"/>
              <w:ind w:firstLine="360"/>
              <w:jc w:val="center"/>
              <w:rPr>
                <w:rFonts w:ascii="Times New Roman"/>
                <w:sz w:val="18"/>
                <w:szCs w:val="18"/>
              </w:rPr>
            </w:pPr>
          </w:p>
        </w:tc>
        <w:tc>
          <w:tcPr>
            <w:tcW w:w="3012" w:type="dxa"/>
          </w:tcPr>
          <w:p w14:paraId="01106E2E">
            <w:pPr>
              <w:pStyle w:val="59"/>
              <w:ind w:firstLine="0" w:firstLineChars="0"/>
              <w:jc w:val="center"/>
              <w:rPr>
                <w:rFonts w:ascii="Times New Roman"/>
                <w:sz w:val="18"/>
                <w:szCs w:val="18"/>
              </w:rPr>
            </w:pPr>
            <w:r>
              <w:rPr>
                <w:rFonts w:ascii="Times New Roman"/>
                <w:sz w:val="18"/>
                <w:szCs w:val="18"/>
              </w:rPr>
              <w:t>一级</w:t>
            </w:r>
          </w:p>
        </w:tc>
        <w:tc>
          <w:tcPr>
            <w:tcW w:w="3014" w:type="dxa"/>
          </w:tcPr>
          <w:p w14:paraId="6E5F814C">
            <w:pPr>
              <w:pStyle w:val="59"/>
              <w:ind w:firstLine="0" w:firstLineChars="0"/>
              <w:jc w:val="center"/>
              <w:rPr>
                <w:rFonts w:ascii="Times New Roman"/>
                <w:sz w:val="18"/>
                <w:szCs w:val="18"/>
              </w:rPr>
            </w:pPr>
            <w:r>
              <w:rPr>
                <w:rFonts w:ascii="Times New Roman"/>
                <w:sz w:val="18"/>
                <w:szCs w:val="18"/>
              </w:rPr>
              <w:t>二级</w:t>
            </w:r>
          </w:p>
        </w:tc>
      </w:tr>
      <w:tr w14:paraId="6416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12" w:type="dxa"/>
          </w:tcPr>
          <w:p w14:paraId="795586E7">
            <w:pPr>
              <w:pStyle w:val="59"/>
              <w:ind w:firstLine="0" w:firstLineChars="0"/>
              <w:jc w:val="center"/>
              <w:rPr>
                <w:rFonts w:ascii="Times New Roman"/>
                <w:sz w:val="18"/>
                <w:szCs w:val="18"/>
              </w:rPr>
            </w:pPr>
            <w:r>
              <w:rPr>
                <w:rFonts w:ascii="Times New Roman"/>
                <w:sz w:val="18"/>
                <w:szCs w:val="18"/>
              </w:rPr>
              <w:t>假茎高，cm</w:t>
            </w:r>
          </w:p>
        </w:tc>
        <w:tc>
          <w:tcPr>
            <w:tcW w:w="3012" w:type="dxa"/>
          </w:tcPr>
          <w:p w14:paraId="61254BBE">
            <w:pPr>
              <w:pStyle w:val="59"/>
              <w:ind w:firstLine="0" w:firstLineChars="0"/>
              <w:jc w:val="center"/>
              <w:rPr>
                <w:rFonts w:ascii="Times New Roman"/>
                <w:sz w:val="18"/>
                <w:szCs w:val="18"/>
              </w:rPr>
            </w:pPr>
            <w:r>
              <w:rPr>
                <w:rFonts w:hAnsi="宋体"/>
                <w:sz w:val="18"/>
                <w:szCs w:val="18"/>
              </w:rPr>
              <w:t>≥</w:t>
            </w:r>
            <w:r>
              <w:rPr>
                <w:rFonts w:ascii="Times New Roman"/>
                <w:sz w:val="18"/>
                <w:szCs w:val="18"/>
              </w:rPr>
              <w:t> 4.0</w:t>
            </w:r>
          </w:p>
        </w:tc>
        <w:tc>
          <w:tcPr>
            <w:tcW w:w="3014" w:type="dxa"/>
          </w:tcPr>
          <w:p w14:paraId="6ED7B3BA">
            <w:pPr>
              <w:pStyle w:val="59"/>
              <w:ind w:firstLine="0" w:firstLineChars="0"/>
              <w:jc w:val="center"/>
              <w:rPr>
                <w:rFonts w:ascii="Times New Roman"/>
                <w:sz w:val="18"/>
                <w:szCs w:val="18"/>
              </w:rPr>
            </w:pPr>
            <w:r>
              <w:rPr>
                <w:rFonts w:ascii="Times New Roman"/>
                <w:sz w:val="18"/>
                <w:szCs w:val="18"/>
              </w:rPr>
              <w:t>3.0 </w:t>
            </w:r>
            <w:r>
              <w:rPr>
                <w:rFonts w:hAnsi="宋体"/>
                <w:sz w:val="18"/>
                <w:szCs w:val="18"/>
              </w:rPr>
              <w:t>～</w:t>
            </w:r>
            <w:r>
              <w:rPr>
                <w:rFonts w:ascii="Times New Roman"/>
                <w:sz w:val="18"/>
                <w:szCs w:val="18"/>
              </w:rPr>
              <w:t> 3.9</w:t>
            </w:r>
          </w:p>
        </w:tc>
      </w:tr>
      <w:tr w14:paraId="6669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tcPr>
          <w:p w14:paraId="5CFC331F">
            <w:pPr>
              <w:pStyle w:val="59"/>
              <w:ind w:firstLine="0" w:firstLineChars="0"/>
              <w:jc w:val="center"/>
              <w:rPr>
                <w:rFonts w:ascii="Times New Roman"/>
                <w:sz w:val="18"/>
                <w:szCs w:val="18"/>
              </w:rPr>
            </w:pPr>
            <w:r>
              <w:rPr>
                <w:rFonts w:ascii="Times New Roman"/>
                <w:sz w:val="18"/>
                <w:szCs w:val="18"/>
              </w:rPr>
              <w:t>假茎粗，cm</w:t>
            </w:r>
          </w:p>
        </w:tc>
        <w:tc>
          <w:tcPr>
            <w:tcW w:w="3012" w:type="dxa"/>
          </w:tcPr>
          <w:p w14:paraId="5242184F">
            <w:pPr>
              <w:pStyle w:val="59"/>
              <w:ind w:firstLine="0" w:firstLineChars="0"/>
              <w:jc w:val="center"/>
              <w:rPr>
                <w:rFonts w:ascii="Times New Roman"/>
                <w:sz w:val="18"/>
                <w:szCs w:val="18"/>
              </w:rPr>
            </w:pPr>
            <w:r>
              <w:rPr>
                <w:rFonts w:hAnsi="宋体"/>
                <w:sz w:val="18"/>
                <w:szCs w:val="18"/>
              </w:rPr>
              <w:t>＞</w:t>
            </w:r>
            <w:r>
              <w:rPr>
                <w:rFonts w:ascii="Times New Roman"/>
                <w:sz w:val="18"/>
                <w:szCs w:val="18"/>
              </w:rPr>
              <w:t> 0.3</w:t>
            </w:r>
          </w:p>
        </w:tc>
        <w:tc>
          <w:tcPr>
            <w:tcW w:w="3014" w:type="dxa"/>
          </w:tcPr>
          <w:p w14:paraId="4CAB65B1">
            <w:pPr>
              <w:pStyle w:val="59"/>
              <w:ind w:firstLine="0" w:firstLineChars="0"/>
              <w:jc w:val="center"/>
              <w:rPr>
                <w:rFonts w:ascii="Times New Roman"/>
                <w:sz w:val="18"/>
                <w:szCs w:val="18"/>
              </w:rPr>
            </w:pPr>
            <w:r>
              <w:rPr>
                <w:rFonts w:ascii="Times New Roman"/>
                <w:sz w:val="18"/>
                <w:szCs w:val="18"/>
              </w:rPr>
              <w:t>0.2 ～ 0.3</w:t>
            </w:r>
          </w:p>
        </w:tc>
      </w:tr>
      <w:tr w14:paraId="116F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tcPr>
          <w:p w14:paraId="6719CB61">
            <w:pPr>
              <w:pStyle w:val="59"/>
              <w:ind w:firstLine="0" w:firstLineChars="0"/>
              <w:jc w:val="center"/>
              <w:rPr>
                <w:rFonts w:ascii="Times New Roman"/>
                <w:sz w:val="18"/>
                <w:szCs w:val="18"/>
              </w:rPr>
            </w:pPr>
            <w:r>
              <w:rPr>
                <w:rFonts w:ascii="Times New Roman"/>
                <w:sz w:val="18"/>
                <w:szCs w:val="18"/>
              </w:rPr>
              <w:t>叶片数，片</w:t>
            </w:r>
          </w:p>
        </w:tc>
        <w:tc>
          <w:tcPr>
            <w:tcW w:w="3012" w:type="dxa"/>
          </w:tcPr>
          <w:p w14:paraId="639C2E97">
            <w:pPr>
              <w:pStyle w:val="59"/>
              <w:ind w:firstLine="0" w:firstLineChars="0"/>
              <w:jc w:val="center"/>
              <w:rPr>
                <w:rFonts w:ascii="Times New Roman"/>
                <w:sz w:val="18"/>
                <w:szCs w:val="18"/>
              </w:rPr>
            </w:pPr>
            <w:r>
              <w:rPr>
                <w:rFonts w:hAnsi="宋体"/>
                <w:sz w:val="18"/>
                <w:szCs w:val="18"/>
              </w:rPr>
              <w:t>≥</w:t>
            </w:r>
            <w:r>
              <w:rPr>
                <w:rFonts w:ascii="Times New Roman"/>
                <w:sz w:val="18"/>
                <w:szCs w:val="18"/>
              </w:rPr>
              <w:t> 2.0</w:t>
            </w:r>
          </w:p>
        </w:tc>
        <w:tc>
          <w:tcPr>
            <w:tcW w:w="3014" w:type="dxa"/>
          </w:tcPr>
          <w:p w14:paraId="79B43556">
            <w:pPr>
              <w:pStyle w:val="59"/>
              <w:ind w:firstLine="0" w:firstLineChars="0"/>
              <w:jc w:val="center"/>
              <w:rPr>
                <w:rFonts w:ascii="Times New Roman"/>
                <w:sz w:val="18"/>
                <w:szCs w:val="18"/>
              </w:rPr>
            </w:pPr>
            <w:r>
              <w:rPr>
                <w:rFonts w:hAnsi="宋体"/>
                <w:sz w:val="18"/>
                <w:szCs w:val="18"/>
              </w:rPr>
              <w:t>＜</w:t>
            </w:r>
            <w:r>
              <w:rPr>
                <w:rFonts w:ascii="Times New Roman"/>
                <w:sz w:val="18"/>
                <w:szCs w:val="18"/>
              </w:rPr>
              <w:t> 2.0</w:t>
            </w:r>
          </w:p>
        </w:tc>
      </w:tr>
      <w:tr w14:paraId="30B5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012" w:type="dxa"/>
          </w:tcPr>
          <w:p w14:paraId="701DD7DA">
            <w:pPr>
              <w:pStyle w:val="59"/>
              <w:ind w:firstLine="0" w:firstLineChars="0"/>
              <w:jc w:val="center"/>
              <w:rPr>
                <w:rFonts w:ascii="Times New Roman"/>
                <w:sz w:val="18"/>
                <w:szCs w:val="18"/>
              </w:rPr>
            </w:pPr>
            <w:r>
              <w:rPr>
                <w:rFonts w:ascii="Times New Roman"/>
                <w:sz w:val="18"/>
                <w:szCs w:val="18"/>
              </w:rPr>
              <w:t>白色根数，条</w:t>
            </w:r>
          </w:p>
        </w:tc>
        <w:tc>
          <w:tcPr>
            <w:tcW w:w="3012" w:type="dxa"/>
          </w:tcPr>
          <w:p w14:paraId="43EEABA6">
            <w:pPr>
              <w:pStyle w:val="59"/>
              <w:ind w:firstLine="0" w:firstLineChars="0"/>
              <w:jc w:val="center"/>
              <w:rPr>
                <w:rFonts w:ascii="Times New Roman"/>
                <w:sz w:val="18"/>
                <w:szCs w:val="18"/>
              </w:rPr>
            </w:pPr>
            <w:r>
              <w:rPr>
                <w:rFonts w:hAnsi="宋体"/>
                <w:sz w:val="18"/>
                <w:szCs w:val="18"/>
              </w:rPr>
              <w:t>≥</w:t>
            </w:r>
            <w:r>
              <w:rPr>
                <w:rFonts w:ascii="Times New Roman"/>
                <w:sz w:val="18"/>
                <w:szCs w:val="18"/>
              </w:rPr>
              <w:t> 2.0</w:t>
            </w:r>
          </w:p>
        </w:tc>
        <w:tc>
          <w:tcPr>
            <w:tcW w:w="3014" w:type="dxa"/>
          </w:tcPr>
          <w:p w14:paraId="363BD70C">
            <w:pPr>
              <w:pStyle w:val="59"/>
              <w:ind w:firstLine="0" w:firstLineChars="0"/>
              <w:jc w:val="center"/>
              <w:rPr>
                <w:rFonts w:ascii="Times New Roman"/>
                <w:sz w:val="18"/>
                <w:szCs w:val="18"/>
              </w:rPr>
            </w:pPr>
            <w:r>
              <w:rPr>
                <w:rFonts w:hAnsi="宋体"/>
                <w:sz w:val="18"/>
                <w:szCs w:val="18"/>
              </w:rPr>
              <w:t>≥</w:t>
            </w:r>
            <w:r>
              <w:rPr>
                <w:rFonts w:ascii="Times New Roman"/>
                <w:sz w:val="18"/>
                <w:szCs w:val="18"/>
              </w:rPr>
              <w:t> 2.0</w:t>
            </w:r>
          </w:p>
        </w:tc>
      </w:tr>
      <w:tr w14:paraId="1731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012" w:type="dxa"/>
          </w:tcPr>
          <w:p w14:paraId="4609C6FC">
            <w:pPr>
              <w:pStyle w:val="59"/>
              <w:ind w:firstLine="0" w:firstLineChars="0"/>
              <w:jc w:val="center"/>
              <w:rPr>
                <w:rFonts w:ascii="Times New Roman"/>
                <w:sz w:val="18"/>
                <w:szCs w:val="18"/>
              </w:rPr>
            </w:pPr>
            <w:r>
              <w:rPr>
                <w:rFonts w:ascii="Times New Roman"/>
                <w:sz w:val="18"/>
                <w:szCs w:val="18"/>
              </w:rPr>
              <w:t>变异率，%</w:t>
            </w:r>
          </w:p>
        </w:tc>
        <w:tc>
          <w:tcPr>
            <w:tcW w:w="3012" w:type="dxa"/>
          </w:tcPr>
          <w:p w14:paraId="00239BA6">
            <w:pPr>
              <w:pStyle w:val="59"/>
              <w:ind w:firstLine="0" w:firstLineChars="0"/>
              <w:jc w:val="center"/>
              <w:rPr>
                <w:rFonts w:ascii="Times New Roman"/>
                <w:sz w:val="18"/>
                <w:szCs w:val="18"/>
              </w:rPr>
            </w:pPr>
            <w:r>
              <w:rPr>
                <w:rFonts w:hAnsi="宋体"/>
                <w:sz w:val="18"/>
                <w:szCs w:val="18"/>
              </w:rPr>
              <w:t>≤</w:t>
            </w:r>
            <w:r>
              <w:rPr>
                <w:rFonts w:ascii="Times New Roman"/>
                <w:sz w:val="18"/>
                <w:szCs w:val="18"/>
              </w:rPr>
              <w:t> 2.0</w:t>
            </w:r>
          </w:p>
        </w:tc>
        <w:tc>
          <w:tcPr>
            <w:tcW w:w="3014" w:type="dxa"/>
          </w:tcPr>
          <w:p w14:paraId="7116EA92">
            <w:pPr>
              <w:pStyle w:val="59"/>
              <w:ind w:firstLine="0" w:firstLineChars="0"/>
              <w:jc w:val="center"/>
              <w:rPr>
                <w:rFonts w:ascii="Times New Roman"/>
                <w:sz w:val="18"/>
                <w:szCs w:val="18"/>
              </w:rPr>
            </w:pPr>
            <w:r>
              <w:rPr>
                <w:rFonts w:hAnsi="宋体"/>
                <w:sz w:val="18"/>
                <w:szCs w:val="18"/>
              </w:rPr>
              <w:t>≤</w:t>
            </w:r>
            <w:r>
              <w:rPr>
                <w:rFonts w:ascii="Times New Roman"/>
                <w:sz w:val="18"/>
                <w:szCs w:val="18"/>
              </w:rPr>
              <w:t> 2.0</w:t>
            </w:r>
          </w:p>
        </w:tc>
      </w:tr>
    </w:tbl>
    <w:p w14:paraId="6E0D56EB">
      <w:pPr>
        <w:pStyle w:val="108"/>
        <w:spacing w:before="120" w:after="120"/>
        <w:ind w:left="0"/>
      </w:pPr>
      <w:r>
        <w:rPr>
          <w:rFonts w:hint="eastAsia"/>
        </w:rPr>
        <w:t>营养杯苗质量</w:t>
      </w:r>
    </w:p>
    <w:p w14:paraId="10CC65C4">
      <w:pPr>
        <w:pStyle w:val="68"/>
        <w:spacing w:before="120" w:after="120"/>
      </w:pPr>
      <w:r>
        <w:rPr>
          <w:rFonts w:hint="eastAsia"/>
        </w:rPr>
        <w:t>质量要求</w:t>
      </w:r>
    </w:p>
    <w:p w14:paraId="58D6C088">
      <w:pPr>
        <w:pStyle w:val="59"/>
        <w:spacing w:line="400" w:lineRule="atLeast"/>
        <w:ind w:firstLine="420"/>
        <w:rPr>
          <w:rFonts w:ascii="Times New Roman"/>
        </w:rPr>
      </w:pPr>
      <w:r>
        <w:rPr>
          <w:rFonts w:ascii="Times New Roman"/>
        </w:rPr>
        <w:t>应满足以下要求：</w:t>
      </w:r>
    </w:p>
    <w:p w14:paraId="0C68D55E">
      <w:pPr>
        <w:pStyle w:val="135"/>
        <w:spacing w:line="400" w:lineRule="atLeast"/>
        <w:rPr>
          <w:rFonts w:ascii="Times New Roman"/>
        </w:rPr>
      </w:pPr>
      <w:r>
        <w:rPr>
          <w:rFonts w:ascii="Times New Roman"/>
        </w:rPr>
        <w:t>种源纯正、性状优良、符合品种特征；</w:t>
      </w:r>
    </w:p>
    <w:p w14:paraId="2CCE1D5D">
      <w:pPr>
        <w:pStyle w:val="135"/>
        <w:spacing w:line="400" w:lineRule="atLeast"/>
        <w:rPr>
          <w:rFonts w:ascii="Times New Roman"/>
        </w:rPr>
      </w:pPr>
      <w:r>
        <w:rPr>
          <w:rFonts w:ascii="Times New Roman"/>
        </w:rPr>
        <w:t>品种纯度 </w:t>
      </w:r>
      <w:r>
        <w:rPr>
          <w:rFonts w:hAnsi="宋体"/>
        </w:rPr>
        <w:t>≥</w:t>
      </w:r>
      <w:r>
        <w:rPr>
          <w:rFonts w:ascii="Times New Roman"/>
        </w:rPr>
        <w:t> 98 %；</w:t>
      </w:r>
    </w:p>
    <w:p w14:paraId="7A4944AF">
      <w:pPr>
        <w:pStyle w:val="135"/>
        <w:spacing w:line="400" w:lineRule="atLeast"/>
        <w:rPr>
          <w:rFonts w:ascii="Times New Roman"/>
        </w:rPr>
      </w:pPr>
      <w:r>
        <w:rPr>
          <w:rFonts w:ascii="Times New Roman"/>
        </w:rPr>
        <w:t>植株正常，无病虫为害；</w:t>
      </w:r>
    </w:p>
    <w:p w14:paraId="67DCEDD9">
      <w:pPr>
        <w:pStyle w:val="135"/>
        <w:spacing w:line="400" w:lineRule="atLeast"/>
        <w:rPr>
          <w:rFonts w:ascii="Times New Roman"/>
        </w:rPr>
      </w:pPr>
      <w:r>
        <w:rPr>
          <w:rFonts w:ascii="Times New Roman"/>
        </w:rPr>
        <w:t>根系生长良好。</w:t>
      </w:r>
    </w:p>
    <w:p w14:paraId="219D9CD6">
      <w:pPr>
        <w:pStyle w:val="68"/>
        <w:spacing w:before="120" w:after="120"/>
      </w:pPr>
      <w:r>
        <w:rPr>
          <w:rFonts w:hint="eastAsia"/>
        </w:rPr>
        <w:t>分级标准</w:t>
      </w:r>
    </w:p>
    <w:p w14:paraId="36969303">
      <w:pPr>
        <w:pStyle w:val="59"/>
        <w:spacing w:line="400" w:lineRule="atLeast"/>
        <w:ind w:firstLine="420"/>
      </w:pPr>
      <w:r>
        <w:rPr>
          <w:rFonts w:hint="eastAsia"/>
        </w:rPr>
        <w:t>在符合</w:t>
      </w:r>
      <w:r>
        <w:t> </w:t>
      </w:r>
      <w:r>
        <w:rPr>
          <w:rFonts w:hint="eastAsia"/>
        </w:rPr>
        <w:t>4.2.1</w:t>
      </w:r>
      <w:r>
        <w:t> </w:t>
      </w:r>
      <w:r>
        <w:rPr>
          <w:rFonts w:hint="eastAsia"/>
        </w:rPr>
        <w:t>要求前提下，产品分为一级和二级，香蕉营养杯苗的等级应符合表</w:t>
      </w:r>
      <w:r>
        <w:t> </w:t>
      </w:r>
      <w:r>
        <w:rPr>
          <w:rFonts w:hint="eastAsia"/>
        </w:rPr>
        <w:t>2</w:t>
      </w:r>
      <w:r>
        <w:t> </w:t>
      </w:r>
      <w:r>
        <w:rPr>
          <w:rFonts w:hint="eastAsia"/>
        </w:rPr>
        <w:t>的规定。</w:t>
      </w:r>
    </w:p>
    <w:p w14:paraId="4992A8B0">
      <w:pPr>
        <w:pStyle w:val="115"/>
        <w:spacing w:before="120" w:after="120"/>
      </w:pPr>
      <w:r>
        <w:rPr>
          <w:rFonts w:hint="eastAsia"/>
        </w:rPr>
        <w:t>香蕉营养杯苗分级指标</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2"/>
        <w:gridCol w:w="3012"/>
        <w:gridCol w:w="3014"/>
      </w:tblGrid>
      <w:tr w14:paraId="690FB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012" w:type="dxa"/>
            <w:vMerge w:val="restart"/>
            <w:vAlign w:val="center"/>
          </w:tcPr>
          <w:p w14:paraId="1A5E5689">
            <w:pPr>
              <w:pStyle w:val="59"/>
              <w:ind w:firstLine="0" w:firstLineChars="0"/>
              <w:jc w:val="center"/>
              <w:rPr>
                <w:rFonts w:ascii="Times New Roman"/>
                <w:sz w:val="18"/>
                <w:szCs w:val="18"/>
              </w:rPr>
            </w:pPr>
            <w:r>
              <w:rPr>
                <w:rFonts w:ascii="Times New Roman"/>
                <w:sz w:val="18"/>
                <w:szCs w:val="18"/>
              </w:rPr>
              <w:t>项目</w:t>
            </w:r>
          </w:p>
        </w:tc>
        <w:tc>
          <w:tcPr>
            <w:tcW w:w="6026" w:type="dxa"/>
            <w:gridSpan w:val="2"/>
            <w:vAlign w:val="center"/>
          </w:tcPr>
          <w:p w14:paraId="302A7D25">
            <w:pPr>
              <w:pStyle w:val="59"/>
              <w:ind w:firstLine="0" w:firstLineChars="0"/>
              <w:jc w:val="center"/>
              <w:rPr>
                <w:rFonts w:ascii="Times New Roman"/>
                <w:sz w:val="18"/>
                <w:szCs w:val="18"/>
              </w:rPr>
            </w:pPr>
            <w:r>
              <w:rPr>
                <w:rFonts w:ascii="Times New Roman"/>
                <w:sz w:val="18"/>
                <w:szCs w:val="18"/>
              </w:rPr>
              <w:t>等级</w:t>
            </w:r>
          </w:p>
        </w:tc>
      </w:tr>
      <w:tr w14:paraId="4250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vMerge w:val="continue"/>
            <w:vAlign w:val="center"/>
          </w:tcPr>
          <w:p w14:paraId="19FFC4A8">
            <w:pPr>
              <w:pStyle w:val="59"/>
              <w:ind w:firstLine="360"/>
              <w:jc w:val="center"/>
              <w:rPr>
                <w:rFonts w:ascii="Times New Roman"/>
                <w:sz w:val="18"/>
                <w:szCs w:val="18"/>
              </w:rPr>
            </w:pPr>
          </w:p>
        </w:tc>
        <w:tc>
          <w:tcPr>
            <w:tcW w:w="3012" w:type="dxa"/>
            <w:vAlign w:val="center"/>
          </w:tcPr>
          <w:p w14:paraId="04281C61">
            <w:pPr>
              <w:pStyle w:val="59"/>
              <w:ind w:firstLine="0" w:firstLineChars="0"/>
              <w:jc w:val="center"/>
              <w:rPr>
                <w:rFonts w:ascii="Times New Roman"/>
                <w:sz w:val="18"/>
                <w:szCs w:val="18"/>
              </w:rPr>
            </w:pPr>
            <w:r>
              <w:rPr>
                <w:rFonts w:ascii="Times New Roman"/>
                <w:sz w:val="18"/>
                <w:szCs w:val="18"/>
              </w:rPr>
              <w:t>一级</w:t>
            </w:r>
          </w:p>
        </w:tc>
        <w:tc>
          <w:tcPr>
            <w:tcW w:w="3014" w:type="dxa"/>
            <w:vAlign w:val="center"/>
          </w:tcPr>
          <w:p w14:paraId="11D56353">
            <w:pPr>
              <w:pStyle w:val="59"/>
              <w:ind w:firstLine="0" w:firstLineChars="0"/>
              <w:jc w:val="center"/>
              <w:rPr>
                <w:rFonts w:ascii="Times New Roman"/>
                <w:sz w:val="18"/>
                <w:szCs w:val="18"/>
              </w:rPr>
            </w:pPr>
            <w:r>
              <w:rPr>
                <w:rFonts w:ascii="Times New Roman"/>
                <w:sz w:val="18"/>
                <w:szCs w:val="18"/>
              </w:rPr>
              <w:t>二级</w:t>
            </w:r>
          </w:p>
        </w:tc>
      </w:tr>
      <w:tr w14:paraId="5F737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vAlign w:val="center"/>
          </w:tcPr>
          <w:p w14:paraId="146E176F">
            <w:pPr>
              <w:pStyle w:val="59"/>
              <w:ind w:firstLine="0" w:firstLineChars="0"/>
              <w:jc w:val="center"/>
              <w:rPr>
                <w:rFonts w:ascii="Times New Roman"/>
                <w:sz w:val="18"/>
                <w:szCs w:val="18"/>
              </w:rPr>
            </w:pPr>
            <w:r>
              <w:rPr>
                <w:rFonts w:ascii="Times New Roman"/>
                <w:sz w:val="18"/>
                <w:szCs w:val="18"/>
              </w:rPr>
              <w:t>新出叶，片</w:t>
            </w:r>
          </w:p>
        </w:tc>
        <w:tc>
          <w:tcPr>
            <w:tcW w:w="3012" w:type="dxa"/>
            <w:vAlign w:val="center"/>
          </w:tcPr>
          <w:p w14:paraId="5E85B093">
            <w:pPr>
              <w:pStyle w:val="59"/>
              <w:ind w:firstLine="0" w:firstLineChars="0"/>
              <w:jc w:val="center"/>
              <w:rPr>
                <w:rFonts w:ascii="Times New Roman"/>
                <w:sz w:val="18"/>
                <w:szCs w:val="18"/>
              </w:rPr>
            </w:pPr>
            <w:r>
              <w:rPr>
                <w:rFonts w:ascii="Times New Roman"/>
                <w:sz w:val="18"/>
                <w:szCs w:val="18"/>
              </w:rPr>
              <w:t>6.0</w:t>
            </w:r>
            <w:r>
              <w:t> </w:t>
            </w:r>
            <w:r>
              <w:rPr>
                <w:rFonts w:ascii="Times New Roman"/>
                <w:sz w:val="18"/>
                <w:szCs w:val="18"/>
              </w:rPr>
              <w:t>～</w:t>
            </w:r>
            <w:r>
              <w:t> </w:t>
            </w:r>
            <w:r>
              <w:rPr>
                <w:rFonts w:ascii="Times New Roman"/>
                <w:sz w:val="18"/>
                <w:szCs w:val="18"/>
              </w:rPr>
              <w:t>9.0</w:t>
            </w:r>
          </w:p>
        </w:tc>
        <w:tc>
          <w:tcPr>
            <w:tcW w:w="3014" w:type="dxa"/>
            <w:vAlign w:val="center"/>
          </w:tcPr>
          <w:p w14:paraId="49D3DA88">
            <w:pPr>
              <w:pStyle w:val="59"/>
              <w:ind w:firstLine="0" w:firstLineChars="0"/>
              <w:jc w:val="center"/>
              <w:rPr>
                <w:rFonts w:ascii="Times New Roman"/>
                <w:sz w:val="18"/>
                <w:szCs w:val="18"/>
              </w:rPr>
            </w:pPr>
            <w:r>
              <w:rPr>
                <w:rFonts w:hAnsi="宋体"/>
                <w:sz w:val="18"/>
                <w:szCs w:val="18"/>
              </w:rPr>
              <w:t>≤</w:t>
            </w:r>
            <w:r>
              <w:t> </w:t>
            </w:r>
            <w:r>
              <w:rPr>
                <w:rFonts w:ascii="Times New Roman"/>
                <w:sz w:val="18"/>
                <w:szCs w:val="18"/>
              </w:rPr>
              <w:t>5.0</w:t>
            </w:r>
          </w:p>
        </w:tc>
      </w:tr>
      <w:tr w14:paraId="4BCA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vAlign w:val="center"/>
          </w:tcPr>
          <w:p w14:paraId="6BFBE6FE">
            <w:pPr>
              <w:pStyle w:val="59"/>
              <w:ind w:firstLine="0" w:firstLineChars="0"/>
              <w:jc w:val="center"/>
              <w:rPr>
                <w:rFonts w:ascii="Times New Roman"/>
                <w:sz w:val="18"/>
                <w:szCs w:val="18"/>
              </w:rPr>
            </w:pPr>
            <w:r>
              <w:rPr>
                <w:rFonts w:ascii="Times New Roman"/>
                <w:sz w:val="18"/>
                <w:szCs w:val="18"/>
              </w:rPr>
              <w:t>新出叶宽，cm</w:t>
            </w:r>
          </w:p>
        </w:tc>
        <w:tc>
          <w:tcPr>
            <w:tcW w:w="3012" w:type="dxa"/>
            <w:vAlign w:val="center"/>
          </w:tcPr>
          <w:p w14:paraId="39D99AF4">
            <w:pPr>
              <w:pStyle w:val="59"/>
              <w:ind w:firstLine="0" w:firstLineChars="0"/>
              <w:jc w:val="center"/>
              <w:rPr>
                <w:rFonts w:ascii="Times New Roman"/>
                <w:sz w:val="18"/>
                <w:szCs w:val="18"/>
              </w:rPr>
            </w:pPr>
            <w:r>
              <w:rPr>
                <w:rFonts w:hAnsi="宋体"/>
                <w:sz w:val="18"/>
                <w:szCs w:val="18"/>
              </w:rPr>
              <w:t>≥</w:t>
            </w:r>
            <w:r>
              <w:t> </w:t>
            </w:r>
            <w:r>
              <w:rPr>
                <w:rFonts w:ascii="Times New Roman"/>
                <w:sz w:val="18"/>
                <w:szCs w:val="18"/>
              </w:rPr>
              <w:t>7.0</w:t>
            </w:r>
          </w:p>
        </w:tc>
        <w:tc>
          <w:tcPr>
            <w:tcW w:w="3014" w:type="dxa"/>
            <w:vAlign w:val="center"/>
          </w:tcPr>
          <w:p w14:paraId="6C1A6611">
            <w:pPr>
              <w:pStyle w:val="59"/>
              <w:ind w:firstLine="0" w:firstLineChars="0"/>
              <w:jc w:val="center"/>
              <w:rPr>
                <w:rFonts w:ascii="Times New Roman"/>
                <w:sz w:val="18"/>
                <w:szCs w:val="18"/>
              </w:rPr>
            </w:pPr>
            <w:r>
              <w:rPr>
                <w:rFonts w:ascii="Times New Roman"/>
                <w:sz w:val="18"/>
                <w:szCs w:val="18"/>
              </w:rPr>
              <w:t>＜</w:t>
            </w:r>
            <w:r>
              <w:t> </w:t>
            </w:r>
            <w:r>
              <w:rPr>
                <w:rFonts w:ascii="Times New Roman"/>
                <w:sz w:val="18"/>
                <w:szCs w:val="18"/>
              </w:rPr>
              <w:t>7.0</w:t>
            </w:r>
          </w:p>
        </w:tc>
      </w:tr>
      <w:tr w14:paraId="1E01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vAlign w:val="center"/>
          </w:tcPr>
          <w:p w14:paraId="36C7EA9B">
            <w:pPr>
              <w:pStyle w:val="59"/>
              <w:ind w:firstLine="0" w:firstLineChars="0"/>
              <w:jc w:val="center"/>
              <w:rPr>
                <w:rFonts w:ascii="Times New Roman"/>
                <w:sz w:val="18"/>
                <w:szCs w:val="18"/>
              </w:rPr>
            </w:pPr>
            <w:r>
              <w:rPr>
                <w:rFonts w:ascii="Times New Roman"/>
                <w:sz w:val="18"/>
                <w:szCs w:val="18"/>
              </w:rPr>
              <w:t>假茎高，cm</w:t>
            </w:r>
          </w:p>
        </w:tc>
        <w:tc>
          <w:tcPr>
            <w:tcW w:w="3012" w:type="dxa"/>
            <w:vAlign w:val="center"/>
          </w:tcPr>
          <w:p w14:paraId="2E7FFBB3">
            <w:pPr>
              <w:pStyle w:val="59"/>
              <w:ind w:firstLine="0" w:firstLineChars="0"/>
              <w:jc w:val="center"/>
              <w:rPr>
                <w:rFonts w:ascii="Times New Roman"/>
                <w:sz w:val="18"/>
                <w:szCs w:val="18"/>
              </w:rPr>
            </w:pPr>
            <w:r>
              <w:rPr>
                <w:rFonts w:ascii="Times New Roman"/>
                <w:sz w:val="18"/>
                <w:szCs w:val="18"/>
              </w:rPr>
              <w:t>13.0</w:t>
            </w:r>
            <w:r>
              <w:t> </w:t>
            </w:r>
            <w:r>
              <w:rPr>
                <w:rFonts w:ascii="Times New Roman"/>
                <w:sz w:val="18"/>
                <w:szCs w:val="18"/>
              </w:rPr>
              <w:t>～</w:t>
            </w:r>
            <w:r>
              <w:t> </w:t>
            </w:r>
            <w:r>
              <w:rPr>
                <w:rFonts w:ascii="Times New Roman"/>
                <w:sz w:val="18"/>
                <w:szCs w:val="18"/>
              </w:rPr>
              <w:t>19.0</w:t>
            </w:r>
          </w:p>
        </w:tc>
        <w:tc>
          <w:tcPr>
            <w:tcW w:w="3014" w:type="dxa"/>
            <w:vAlign w:val="center"/>
          </w:tcPr>
          <w:p w14:paraId="7EE7CF20">
            <w:pPr>
              <w:pStyle w:val="59"/>
              <w:ind w:firstLine="0" w:firstLineChars="0"/>
              <w:jc w:val="center"/>
              <w:rPr>
                <w:rFonts w:ascii="Times New Roman"/>
                <w:sz w:val="18"/>
                <w:szCs w:val="18"/>
              </w:rPr>
            </w:pPr>
            <w:r>
              <w:rPr>
                <w:rFonts w:ascii="Times New Roman"/>
                <w:sz w:val="18"/>
                <w:szCs w:val="18"/>
              </w:rPr>
              <w:t>＜</w:t>
            </w:r>
            <w:r>
              <w:t> </w:t>
            </w:r>
            <w:r>
              <w:rPr>
                <w:rFonts w:ascii="Times New Roman"/>
                <w:sz w:val="18"/>
                <w:szCs w:val="18"/>
              </w:rPr>
              <w:t>13.0</w:t>
            </w:r>
          </w:p>
        </w:tc>
      </w:tr>
      <w:tr w14:paraId="5A75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vAlign w:val="center"/>
          </w:tcPr>
          <w:p w14:paraId="4D12C2C4">
            <w:pPr>
              <w:pStyle w:val="59"/>
              <w:ind w:firstLine="0" w:firstLineChars="0"/>
              <w:jc w:val="center"/>
              <w:rPr>
                <w:rFonts w:ascii="Times New Roman"/>
                <w:sz w:val="18"/>
                <w:szCs w:val="18"/>
              </w:rPr>
            </w:pPr>
            <w:r>
              <w:rPr>
                <w:rFonts w:ascii="Times New Roman"/>
                <w:sz w:val="18"/>
                <w:szCs w:val="18"/>
              </w:rPr>
              <w:t>假茎粗，cm</w:t>
            </w:r>
          </w:p>
        </w:tc>
        <w:tc>
          <w:tcPr>
            <w:tcW w:w="3012" w:type="dxa"/>
            <w:vAlign w:val="center"/>
          </w:tcPr>
          <w:p w14:paraId="63C6B477">
            <w:pPr>
              <w:pStyle w:val="59"/>
              <w:ind w:firstLine="0" w:firstLineChars="0"/>
              <w:jc w:val="center"/>
              <w:rPr>
                <w:rFonts w:ascii="Times New Roman"/>
                <w:sz w:val="18"/>
                <w:szCs w:val="18"/>
              </w:rPr>
            </w:pPr>
            <w:r>
              <w:rPr>
                <w:rFonts w:ascii="Times New Roman"/>
                <w:sz w:val="18"/>
                <w:szCs w:val="18"/>
              </w:rPr>
              <w:t>0.8</w:t>
            </w:r>
            <w:r>
              <w:t> </w:t>
            </w:r>
            <w:r>
              <w:rPr>
                <w:rFonts w:ascii="Times New Roman"/>
                <w:sz w:val="18"/>
                <w:szCs w:val="18"/>
              </w:rPr>
              <w:t>～</w:t>
            </w:r>
            <w:r>
              <w:t> </w:t>
            </w:r>
            <w:r>
              <w:rPr>
                <w:rFonts w:ascii="Times New Roman"/>
                <w:sz w:val="18"/>
                <w:szCs w:val="18"/>
              </w:rPr>
              <w:t>1.2</w:t>
            </w:r>
          </w:p>
        </w:tc>
        <w:tc>
          <w:tcPr>
            <w:tcW w:w="3014" w:type="dxa"/>
            <w:vAlign w:val="center"/>
          </w:tcPr>
          <w:p w14:paraId="59061C36">
            <w:pPr>
              <w:pStyle w:val="59"/>
              <w:ind w:firstLine="0" w:firstLineChars="0"/>
              <w:jc w:val="center"/>
              <w:rPr>
                <w:rFonts w:ascii="Times New Roman"/>
                <w:sz w:val="18"/>
                <w:szCs w:val="18"/>
              </w:rPr>
            </w:pPr>
            <w:r>
              <w:rPr>
                <w:rFonts w:hAnsi="宋体"/>
                <w:sz w:val="18"/>
                <w:szCs w:val="18"/>
              </w:rPr>
              <w:t>＜</w:t>
            </w:r>
            <w:r>
              <w:t> </w:t>
            </w:r>
            <w:r>
              <w:rPr>
                <w:rFonts w:ascii="Times New Roman"/>
                <w:sz w:val="18"/>
                <w:szCs w:val="18"/>
              </w:rPr>
              <w:t>0.8</w:t>
            </w:r>
          </w:p>
        </w:tc>
      </w:tr>
      <w:tr w14:paraId="46F4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012" w:type="dxa"/>
            <w:vAlign w:val="center"/>
          </w:tcPr>
          <w:p w14:paraId="59AA46AB">
            <w:pPr>
              <w:pStyle w:val="59"/>
              <w:ind w:firstLine="0" w:firstLineChars="0"/>
              <w:jc w:val="center"/>
              <w:rPr>
                <w:rFonts w:ascii="Times New Roman"/>
                <w:sz w:val="18"/>
                <w:szCs w:val="18"/>
              </w:rPr>
            </w:pPr>
            <w:r>
              <w:rPr>
                <w:rFonts w:ascii="Times New Roman"/>
                <w:sz w:val="18"/>
                <w:szCs w:val="18"/>
              </w:rPr>
              <w:t>变异率，%</w:t>
            </w:r>
          </w:p>
        </w:tc>
        <w:tc>
          <w:tcPr>
            <w:tcW w:w="3012" w:type="dxa"/>
            <w:vAlign w:val="center"/>
          </w:tcPr>
          <w:p w14:paraId="7465E3B0">
            <w:pPr>
              <w:pStyle w:val="59"/>
              <w:ind w:firstLine="0" w:firstLineChars="0"/>
              <w:jc w:val="center"/>
              <w:rPr>
                <w:rFonts w:ascii="Times New Roman"/>
                <w:sz w:val="18"/>
                <w:szCs w:val="18"/>
              </w:rPr>
            </w:pPr>
            <w:r>
              <w:rPr>
                <w:rFonts w:hAnsi="宋体"/>
                <w:sz w:val="18"/>
                <w:szCs w:val="18"/>
              </w:rPr>
              <w:t>≤</w:t>
            </w:r>
            <w:r>
              <w:t> </w:t>
            </w:r>
            <w:r>
              <w:rPr>
                <w:rFonts w:ascii="Times New Roman"/>
                <w:sz w:val="18"/>
                <w:szCs w:val="18"/>
              </w:rPr>
              <w:t>2.0</w:t>
            </w:r>
          </w:p>
        </w:tc>
        <w:tc>
          <w:tcPr>
            <w:tcW w:w="3014" w:type="dxa"/>
            <w:vAlign w:val="center"/>
          </w:tcPr>
          <w:p w14:paraId="03DCC16A">
            <w:pPr>
              <w:pStyle w:val="59"/>
              <w:ind w:firstLine="0" w:firstLineChars="0"/>
              <w:jc w:val="center"/>
              <w:rPr>
                <w:rFonts w:ascii="Times New Roman"/>
                <w:sz w:val="18"/>
                <w:szCs w:val="18"/>
              </w:rPr>
            </w:pPr>
            <w:r>
              <w:rPr>
                <w:rFonts w:hAnsi="宋体"/>
                <w:sz w:val="18"/>
                <w:szCs w:val="18"/>
              </w:rPr>
              <w:t>≤</w:t>
            </w:r>
            <w:r>
              <w:t> </w:t>
            </w:r>
            <w:r>
              <w:rPr>
                <w:rFonts w:ascii="Times New Roman"/>
                <w:sz w:val="18"/>
                <w:szCs w:val="18"/>
              </w:rPr>
              <w:t>2.0</w:t>
            </w:r>
          </w:p>
        </w:tc>
      </w:tr>
    </w:tbl>
    <w:p w14:paraId="3529F7B8">
      <w:pPr>
        <w:pStyle w:val="107"/>
        <w:spacing w:before="240" w:after="240"/>
        <w:ind w:left="0"/>
      </w:pPr>
      <w:r>
        <w:rPr>
          <w:rFonts w:hint="eastAsia"/>
        </w:rPr>
        <w:t>无病毒组培苗繁育</w:t>
      </w:r>
    </w:p>
    <w:p w14:paraId="26111E65">
      <w:pPr>
        <w:pStyle w:val="108"/>
        <w:spacing w:before="120" w:after="120"/>
        <w:ind w:left="0"/>
      </w:pPr>
      <w:r>
        <w:rPr>
          <w:rFonts w:hint="eastAsia"/>
        </w:rPr>
        <w:t>外植体采集与处理</w:t>
      </w:r>
    </w:p>
    <w:p w14:paraId="79C7C647">
      <w:pPr>
        <w:pStyle w:val="68"/>
        <w:spacing w:before="120" w:after="120"/>
      </w:pPr>
      <w:r>
        <w:rPr>
          <w:rFonts w:hint="eastAsia"/>
        </w:rPr>
        <w:t>采芽母株</w:t>
      </w:r>
    </w:p>
    <w:p w14:paraId="000E9DD7">
      <w:pPr>
        <w:pStyle w:val="59"/>
        <w:spacing w:line="400" w:lineRule="exact"/>
        <w:ind w:firstLine="420"/>
        <w:rPr>
          <w:rFonts w:ascii="Times New Roman"/>
        </w:rPr>
      </w:pPr>
      <w:r>
        <w:rPr>
          <w:rFonts w:ascii="Times New Roman"/>
        </w:rPr>
        <w:t>采芽的母株来源于品种纯正、无病害且长势良好的香蕉园，选择农艺性状符合取材品种特征的优良植株作为采芽母株，并做好标记。</w:t>
      </w:r>
    </w:p>
    <w:p w14:paraId="4BC9E0F3">
      <w:pPr>
        <w:pStyle w:val="68"/>
        <w:spacing w:before="120" w:after="120"/>
      </w:pPr>
      <w:r>
        <w:rPr>
          <w:rFonts w:hint="eastAsia"/>
        </w:rPr>
        <w:t>外植体处理</w:t>
      </w:r>
    </w:p>
    <w:p w14:paraId="1AC7ABB0">
      <w:pPr>
        <w:pStyle w:val="59"/>
        <w:spacing w:line="400" w:lineRule="exact"/>
        <w:ind w:firstLine="420"/>
        <w:rPr>
          <w:rFonts w:ascii="Times New Roman"/>
        </w:rPr>
      </w:pPr>
      <w:r>
        <w:rPr>
          <w:rFonts w:ascii="Times New Roman"/>
        </w:rPr>
        <w:t>从采芽母株采集生长健壮的吸芽，将吸芽切成以茎尖生长点为中心的（5</w:t>
      </w:r>
      <w:r>
        <w:rPr>
          <w:rFonts w:ascii="Times New Roman" w:eastAsia="仿宋"/>
        </w:rPr>
        <w:t>～</w:t>
      </w:r>
      <w:r>
        <w:rPr>
          <w:rFonts w:ascii="Times New Roman"/>
        </w:rPr>
        <w:t>10）cm × （15</w:t>
      </w:r>
      <w:r>
        <w:rPr>
          <w:rFonts w:ascii="Times New Roman" w:eastAsia="仿宋"/>
        </w:rPr>
        <w:t>～20</w:t>
      </w:r>
      <w:r>
        <w:rPr>
          <w:rFonts w:ascii="Times New Roman"/>
        </w:rPr>
        <w:t>）cm的方块，用 75 % 酒精进行表面消毒，在无菌条件下取 2 cm × 2 cm 方块的生长点作为外植体。</w:t>
      </w:r>
    </w:p>
    <w:p w14:paraId="477BD570">
      <w:pPr>
        <w:pStyle w:val="59"/>
        <w:spacing w:line="400" w:lineRule="exact"/>
        <w:ind w:firstLine="420"/>
        <w:rPr>
          <w:rFonts w:hint="eastAsia" w:ascii="Times New Roman"/>
        </w:rPr>
      </w:pPr>
    </w:p>
    <w:p w14:paraId="79124524">
      <w:pPr>
        <w:pStyle w:val="108"/>
        <w:spacing w:before="120" w:after="120"/>
        <w:ind w:left="0"/>
      </w:pPr>
      <w:r>
        <w:rPr>
          <w:rFonts w:hint="eastAsia"/>
        </w:rPr>
        <w:t>5.2 外植体接种与诱导</w:t>
      </w:r>
    </w:p>
    <w:p w14:paraId="4CF37DD9">
      <w:pPr>
        <w:pStyle w:val="59"/>
        <w:spacing w:line="400" w:lineRule="atLeast"/>
        <w:ind w:firstLine="420"/>
      </w:pPr>
      <w:r>
        <w:rPr>
          <w:rFonts w:hint="eastAsia"/>
        </w:rPr>
        <w:t>将外植体接种到诱导培养基中，并编好序号，于适宜的温度和环境进行茎尖分生组织培养。</w:t>
      </w:r>
    </w:p>
    <w:p w14:paraId="342FCCC4">
      <w:pPr>
        <w:pStyle w:val="108"/>
        <w:spacing w:before="120" w:after="120"/>
        <w:ind w:left="0"/>
      </w:pPr>
      <w:r>
        <w:rPr>
          <w:rFonts w:hint="eastAsia"/>
        </w:rPr>
        <w:t>病毒检测</w:t>
      </w:r>
    </w:p>
    <w:p w14:paraId="28CF5A5D">
      <w:pPr>
        <w:pStyle w:val="59"/>
        <w:spacing w:line="400" w:lineRule="atLeast"/>
        <w:ind w:firstLine="420"/>
        <w:rPr>
          <w:rFonts w:ascii="Times New Roman"/>
        </w:rPr>
      </w:pPr>
      <w:r>
        <w:rPr>
          <w:rFonts w:ascii="Times New Roman"/>
        </w:rPr>
        <w:t>将初次培养的分化芽用聚合酶链式反应技术（PCR）或酶链免疫吸附法（ELLSA）进行病毒检测。香蕉花叶心腐病、香蕉束顶病和香蕉线条病病毒检测方法按照 NY/T 2120 的规定执行，经检测无病毒的分化芽株号才可继续增殖培养。经检测有病毒的株号，其分化芽应全部销毁。</w:t>
      </w:r>
    </w:p>
    <w:p w14:paraId="35CA6F7D">
      <w:pPr>
        <w:pStyle w:val="108"/>
        <w:spacing w:before="120" w:after="120"/>
        <w:ind w:left="0"/>
      </w:pPr>
      <w:r>
        <w:rPr>
          <w:rFonts w:hint="eastAsia"/>
        </w:rPr>
        <w:t>继代培养</w:t>
      </w:r>
    </w:p>
    <w:p w14:paraId="3223CFC0">
      <w:pPr>
        <w:pStyle w:val="59"/>
        <w:spacing w:line="400" w:lineRule="exact"/>
        <w:ind w:firstLine="420"/>
      </w:pPr>
      <w:r>
        <w:rPr>
          <w:rFonts w:hint="eastAsia"/>
        </w:rPr>
        <w:t>将检测无病毒的分化芽接种至继代培养基中，于适宜的温度和环境中通过继代培养不断增殖，获得大量分化芽。继代培养次数不超过</w:t>
      </w:r>
      <w:r>
        <w:t> </w:t>
      </w:r>
      <w:r>
        <w:rPr>
          <w:rFonts w:hint="eastAsia"/>
        </w:rPr>
        <w:t>10</w:t>
      </w:r>
      <w:r>
        <w:t> </w:t>
      </w:r>
      <w:r>
        <w:rPr>
          <w:rFonts w:hint="eastAsia"/>
        </w:rPr>
        <w:t>代。</w:t>
      </w:r>
    </w:p>
    <w:p w14:paraId="22E5BB37">
      <w:pPr>
        <w:pStyle w:val="108"/>
        <w:spacing w:before="120" w:after="120"/>
        <w:ind w:left="0"/>
      </w:pPr>
      <w:r>
        <w:rPr>
          <w:rFonts w:hint="eastAsia"/>
        </w:rPr>
        <w:t>生根培养</w:t>
      </w:r>
    </w:p>
    <w:p w14:paraId="624BE4E0">
      <w:pPr>
        <w:pStyle w:val="59"/>
        <w:spacing w:line="400" w:lineRule="exact"/>
        <w:ind w:firstLine="420"/>
      </w:pPr>
      <w:r>
        <w:rPr>
          <w:rFonts w:hint="eastAsia"/>
        </w:rPr>
        <w:t>将生长到一定高度的分化芽，转接到生根培养基中，于适宜的温度和环境中进行生根培养，分化芽应大小分级，培养健壮生根苗。</w:t>
      </w:r>
    </w:p>
    <w:p w14:paraId="1498528C">
      <w:pPr>
        <w:pStyle w:val="108"/>
        <w:spacing w:before="120" w:after="120"/>
        <w:ind w:left="0"/>
      </w:pPr>
      <w:r>
        <w:rPr>
          <w:rFonts w:hint="eastAsia"/>
        </w:rPr>
        <w:t>练苗</w:t>
      </w:r>
    </w:p>
    <w:p w14:paraId="32A3914A">
      <w:pPr>
        <w:pStyle w:val="59"/>
        <w:spacing w:line="400" w:lineRule="exact"/>
        <w:ind w:firstLine="420"/>
        <w:rPr>
          <w:rFonts w:hint="eastAsia" w:ascii="仿宋" w:hAnsi="仿宋" w:eastAsia="仿宋" w:cs="仿宋"/>
        </w:rPr>
      </w:pPr>
      <w:r>
        <w:rPr>
          <w:rFonts w:hint="eastAsia"/>
        </w:rPr>
        <w:t>将生根良好的生根苗放置在避雨且自然光漫射良好的场所培养。练苗场所应注意通风，避免高温。</w:t>
      </w:r>
    </w:p>
    <w:p w14:paraId="480981D9">
      <w:pPr>
        <w:pStyle w:val="107"/>
        <w:spacing w:before="240" w:after="240"/>
        <w:ind w:left="0"/>
      </w:pPr>
      <w:r>
        <w:rPr>
          <w:rFonts w:hint="eastAsia"/>
        </w:rPr>
        <w:t>营养杯苗管理</w:t>
      </w:r>
    </w:p>
    <w:p w14:paraId="2FC743FD">
      <w:pPr>
        <w:pStyle w:val="108"/>
        <w:spacing w:before="120" w:after="120"/>
        <w:ind w:left="0"/>
      </w:pPr>
      <w:r>
        <w:rPr>
          <w:rFonts w:hint="eastAsia"/>
        </w:rPr>
        <w:t>苗圃场地</w:t>
      </w:r>
    </w:p>
    <w:p w14:paraId="0A8818CE">
      <w:pPr>
        <w:pStyle w:val="59"/>
        <w:spacing w:line="400" w:lineRule="exact"/>
        <w:ind w:firstLine="420"/>
      </w:pPr>
      <w:r>
        <w:rPr>
          <w:rFonts w:hint="eastAsia"/>
        </w:rPr>
        <w:t>选择交通便利、阳光充足、水源洁净、排水良好且远离检疫性病虫害和老病蕉园，周围无茄科、葫芦科及豆科等植物的场所建设苗圃。</w:t>
      </w:r>
    </w:p>
    <w:p w14:paraId="222C4CC9">
      <w:pPr>
        <w:pStyle w:val="108"/>
        <w:spacing w:before="120" w:after="120"/>
        <w:ind w:left="0"/>
      </w:pPr>
      <w:r>
        <w:rPr>
          <w:rFonts w:hint="eastAsia"/>
        </w:rPr>
        <w:t>苗棚建设</w:t>
      </w:r>
    </w:p>
    <w:p w14:paraId="188A8C78">
      <w:pPr>
        <w:pStyle w:val="59"/>
        <w:spacing w:line="400" w:lineRule="atLeast"/>
        <w:ind w:firstLine="420"/>
      </w:pPr>
      <w:r>
        <w:rPr>
          <w:rFonts w:hint="eastAsia"/>
        </w:rPr>
        <w:t>苗棚根据场地建设，具备</w:t>
      </w:r>
      <w:r>
        <w:rPr>
          <w:rFonts w:ascii="Times New Roman"/>
        </w:rPr>
        <w:t> </w:t>
      </w:r>
      <w:r>
        <w:rPr>
          <w:rFonts w:hint="eastAsia"/>
        </w:rPr>
        <w:t>40</w:t>
      </w:r>
      <w:r>
        <w:rPr>
          <w:rFonts w:ascii="Times New Roman"/>
        </w:rPr>
        <w:t> </w:t>
      </w:r>
      <w:r>
        <w:rPr>
          <w:rFonts w:hint="eastAsia"/>
        </w:rPr>
        <w:t>～</w:t>
      </w:r>
      <w:r>
        <w:rPr>
          <w:rFonts w:ascii="Times New Roman"/>
        </w:rPr>
        <w:t> </w:t>
      </w:r>
      <w:r>
        <w:rPr>
          <w:rFonts w:hint="eastAsia"/>
        </w:rPr>
        <w:t>60</w:t>
      </w:r>
      <w:r>
        <w:rPr>
          <w:rFonts w:ascii="Times New Roman"/>
        </w:rPr>
        <w:t> </w:t>
      </w:r>
      <w:r>
        <w:rPr>
          <w:rFonts w:hint="eastAsia"/>
        </w:rPr>
        <w:t>目防虫网、遮光度</w:t>
      </w:r>
      <w:r>
        <w:rPr>
          <w:rFonts w:ascii="Times New Roman"/>
        </w:rPr>
        <w:t> </w:t>
      </w:r>
      <w:r>
        <w:rPr>
          <w:rFonts w:hint="eastAsia"/>
        </w:rPr>
        <w:t>70</w:t>
      </w:r>
      <w:r>
        <w:rPr>
          <w:rFonts w:ascii="Times New Roman"/>
        </w:rPr>
        <w:t> </w:t>
      </w:r>
      <w:r>
        <w:rPr>
          <w:rFonts w:hint="eastAsia"/>
        </w:rPr>
        <w:t>%</w:t>
      </w:r>
      <w:r>
        <w:rPr>
          <w:rFonts w:ascii="Times New Roman"/>
        </w:rPr>
        <w:t> </w:t>
      </w:r>
      <w:r>
        <w:rPr>
          <w:rFonts w:hint="eastAsia"/>
        </w:rPr>
        <w:t>～</w:t>
      </w:r>
      <w:r>
        <w:rPr>
          <w:rFonts w:ascii="Times New Roman"/>
        </w:rPr>
        <w:t> </w:t>
      </w:r>
      <w:r>
        <w:rPr>
          <w:rFonts w:hint="eastAsia"/>
        </w:rPr>
        <w:t>80</w:t>
      </w:r>
      <w:r>
        <w:rPr>
          <w:rFonts w:ascii="Times New Roman"/>
        </w:rPr>
        <w:t> </w:t>
      </w:r>
      <w:r>
        <w:rPr>
          <w:rFonts w:hint="eastAsia"/>
        </w:rPr>
        <w:t>%</w:t>
      </w:r>
      <w:r>
        <w:rPr>
          <w:rFonts w:ascii="Times New Roman"/>
        </w:rPr>
        <w:t> </w:t>
      </w:r>
      <w:r>
        <w:rPr>
          <w:rFonts w:hint="eastAsia"/>
        </w:rPr>
        <w:t>遮阳网以及喷淋设施。在寒冷天气，可加盖</w:t>
      </w:r>
      <w:r>
        <w:rPr>
          <w:rFonts w:ascii="Times New Roman"/>
        </w:rPr>
        <w:t> </w:t>
      </w:r>
      <w:r>
        <w:rPr>
          <w:rFonts w:hint="eastAsia"/>
        </w:rPr>
        <w:t>0.08</w:t>
      </w:r>
      <w:r>
        <w:rPr>
          <w:rFonts w:ascii="Times New Roman"/>
        </w:rPr>
        <w:t> </w:t>
      </w:r>
      <w:r>
        <w:rPr>
          <w:rFonts w:hint="eastAsia"/>
        </w:rPr>
        <w:t>～</w:t>
      </w:r>
      <w:r>
        <w:rPr>
          <w:rFonts w:ascii="Times New Roman"/>
        </w:rPr>
        <w:t> </w:t>
      </w:r>
      <w:r>
        <w:rPr>
          <w:rFonts w:hint="eastAsia"/>
        </w:rPr>
        <w:t>0.10</w:t>
      </w:r>
      <w:r>
        <w:rPr>
          <w:rFonts w:ascii="Times New Roman"/>
        </w:rPr>
        <w:t> </w:t>
      </w:r>
      <w:r>
        <w:rPr>
          <w:rFonts w:hint="eastAsia"/>
        </w:rPr>
        <w:t>mm</w:t>
      </w:r>
      <w:r>
        <w:rPr>
          <w:rFonts w:ascii="Times New Roman"/>
        </w:rPr>
        <w:t> </w:t>
      </w:r>
      <w:r>
        <w:rPr>
          <w:rFonts w:hint="eastAsia"/>
        </w:rPr>
        <w:t>薄膜。</w:t>
      </w:r>
    </w:p>
    <w:p w14:paraId="163B9C15">
      <w:pPr>
        <w:pStyle w:val="108"/>
        <w:spacing w:before="120" w:after="120"/>
        <w:ind w:left="0"/>
      </w:pPr>
      <w:r>
        <w:rPr>
          <w:rFonts w:hint="eastAsia"/>
        </w:rPr>
        <w:t>育苗基质</w:t>
      </w:r>
    </w:p>
    <w:p w14:paraId="07DF85DC">
      <w:pPr>
        <w:pStyle w:val="59"/>
        <w:spacing w:line="400" w:lineRule="exact"/>
        <w:ind w:firstLine="420"/>
      </w:pPr>
      <w:r>
        <w:rPr>
          <w:rFonts w:hint="eastAsia"/>
        </w:rPr>
        <w:t>选择通气、透水性强、易发根、无香蕉枯萎病菌的椰糠等基质。基质中加入腐熟有机肥、钙镁磷肥和杀线虫剂等，混合均匀，配制成育苗基质。</w:t>
      </w:r>
    </w:p>
    <w:p w14:paraId="251EED30">
      <w:pPr>
        <w:pStyle w:val="108"/>
        <w:spacing w:before="120" w:after="120"/>
        <w:ind w:left="0"/>
      </w:pPr>
      <w:r>
        <w:rPr>
          <w:rFonts w:hint="eastAsia"/>
        </w:rPr>
        <w:t>种苗来源</w:t>
      </w:r>
    </w:p>
    <w:p w14:paraId="2E7E20FB">
      <w:pPr>
        <w:pStyle w:val="59"/>
        <w:spacing w:line="400" w:lineRule="exact"/>
        <w:ind w:firstLine="420"/>
      </w:pPr>
      <w:r>
        <w:rPr>
          <w:rFonts w:hint="eastAsia"/>
        </w:rPr>
        <w:t>用于移栽的生根苗应来源于有香蕉组培苗生产资质的企业或单位，生根苗符合</w:t>
      </w:r>
      <w:r>
        <w:rPr>
          <w:rFonts w:ascii="Times New Roman"/>
        </w:rPr>
        <w:t> </w:t>
      </w:r>
      <w:r>
        <w:rPr>
          <w:rFonts w:hint="eastAsia"/>
        </w:rPr>
        <w:t>4.1.1</w:t>
      </w:r>
      <w:r>
        <w:rPr>
          <w:rFonts w:ascii="Times New Roman"/>
        </w:rPr>
        <w:t> </w:t>
      </w:r>
      <w:r>
        <w:rPr>
          <w:rFonts w:hint="eastAsia"/>
        </w:rPr>
        <w:t>和</w:t>
      </w:r>
      <w:r>
        <w:rPr>
          <w:rFonts w:ascii="Times New Roman"/>
        </w:rPr>
        <w:t> </w:t>
      </w:r>
      <w:r>
        <w:rPr>
          <w:rFonts w:hint="eastAsia"/>
        </w:rPr>
        <w:t>4.1.2</w:t>
      </w:r>
      <w:r>
        <w:rPr>
          <w:rFonts w:ascii="Times New Roman"/>
        </w:rPr>
        <w:t> </w:t>
      </w:r>
      <w:r>
        <w:rPr>
          <w:rFonts w:hint="eastAsia"/>
        </w:rPr>
        <w:t>的质量要求。</w:t>
      </w:r>
    </w:p>
    <w:p w14:paraId="37C40F28">
      <w:pPr>
        <w:pStyle w:val="108"/>
        <w:spacing w:before="120" w:after="120"/>
        <w:ind w:left="0"/>
      </w:pPr>
      <w:r>
        <w:rPr>
          <w:rFonts w:hint="eastAsia"/>
        </w:rPr>
        <w:t>种苗清洗</w:t>
      </w:r>
    </w:p>
    <w:p w14:paraId="7786406D">
      <w:pPr>
        <w:pStyle w:val="59"/>
        <w:spacing w:line="400" w:lineRule="exact"/>
        <w:ind w:firstLine="420"/>
      </w:pPr>
      <w:r>
        <w:rPr>
          <w:rFonts w:hint="eastAsia"/>
        </w:rPr>
        <w:t>将生根苗取出放在装有清水的盆中洗净根部培养基，然后在</w:t>
      </w:r>
      <w:r>
        <w:rPr>
          <w:rFonts w:ascii="Times New Roman"/>
        </w:rPr>
        <w:t> </w:t>
      </w:r>
      <w:r>
        <w:rPr>
          <w:rFonts w:hint="eastAsia"/>
        </w:rPr>
        <w:t>50</w:t>
      </w:r>
      <w:r>
        <w:rPr>
          <w:rFonts w:ascii="Times New Roman"/>
        </w:rPr>
        <w:t> </w:t>
      </w:r>
      <w:r>
        <w:rPr>
          <w:rFonts w:hint="eastAsia"/>
        </w:rPr>
        <w:t>%</w:t>
      </w:r>
      <w:r>
        <w:rPr>
          <w:rFonts w:ascii="Times New Roman"/>
        </w:rPr>
        <w:t> </w:t>
      </w:r>
      <w:r>
        <w:rPr>
          <w:rFonts w:hint="eastAsia"/>
        </w:rPr>
        <w:t>多菌灵</w:t>
      </w:r>
      <w:r>
        <w:rPr>
          <w:rFonts w:ascii="Times New Roman"/>
        </w:rPr>
        <w:t> </w:t>
      </w:r>
      <w:r>
        <w:rPr>
          <w:rFonts w:hint="eastAsia"/>
        </w:rPr>
        <w:t>800</w:t>
      </w:r>
      <w:r>
        <w:rPr>
          <w:rFonts w:ascii="Times New Roman"/>
        </w:rPr>
        <w:t> </w:t>
      </w:r>
      <w:r>
        <w:rPr>
          <w:rFonts w:hint="eastAsia"/>
        </w:rPr>
        <w:t>倍液或高锰酸钾</w:t>
      </w:r>
      <w:r>
        <w:rPr>
          <w:rFonts w:ascii="Times New Roman"/>
        </w:rPr>
        <w:t> </w:t>
      </w:r>
      <w:r>
        <w:rPr>
          <w:rFonts w:hint="eastAsia"/>
        </w:rPr>
        <w:t>1000倍液浸泡</w:t>
      </w:r>
      <w:r>
        <w:rPr>
          <w:rFonts w:ascii="Times New Roman"/>
        </w:rPr>
        <w:t> </w:t>
      </w:r>
      <w:r>
        <w:rPr>
          <w:rFonts w:hint="eastAsia"/>
        </w:rPr>
        <w:t>2</w:t>
      </w:r>
      <w:r>
        <w:rPr>
          <w:rFonts w:ascii="Times New Roman"/>
        </w:rPr>
        <w:t> </w:t>
      </w:r>
      <w:r>
        <w:t>s</w:t>
      </w:r>
      <w:r>
        <w:rPr>
          <w:rFonts w:ascii="Times New Roman"/>
        </w:rPr>
        <w:t> </w:t>
      </w:r>
      <w:r>
        <w:rPr>
          <w:rFonts w:hint="eastAsia"/>
        </w:rPr>
        <w:t>～</w:t>
      </w:r>
      <w:r>
        <w:rPr>
          <w:rFonts w:ascii="Times New Roman"/>
        </w:rPr>
        <w:t> </w:t>
      </w:r>
      <w:r>
        <w:rPr>
          <w:rFonts w:hint="eastAsia"/>
        </w:rPr>
        <w:t>3</w:t>
      </w:r>
      <w:r>
        <w:rPr>
          <w:rFonts w:ascii="Times New Roman"/>
        </w:rPr>
        <w:t> </w:t>
      </w:r>
      <w:r>
        <w:t>s</w:t>
      </w:r>
      <w:r>
        <w:rPr>
          <w:rFonts w:hint="eastAsia"/>
        </w:rPr>
        <w:t>，取出后摆放在阴凉处待移栽，清洗过程中避免植株受损。</w:t>
      </w:r>
    </w:p>
    <w:p w14:paraId="7462A010">
      <w:pPr>
        <w:pStyle w:val="108"/>
        <w:spacing w:before="120" w:after="120"/>
        <w:ind w:left="0"/>
      </w:pPr>
      <w:r>
        <w:rPr>
          <w:rFonts w:hint="eastAsia"/>
        </w:rPr>
        <w:t>种苗假植</w:t>
      </w:r>
    </w:p>
    <w:p w14:paraId="06A3796E">
      <w:pPr>
        <w:pStyle w:val="59"/>
        <w:spacing w:line="400" w:lineRule="exact"/>
        <w:ind w:firstLine="420"/>
      </w:pPr>
      <w:r>
        <w:rPr>
          <w:rFonts w:hint="eastAsia"/>
        </w:rPr>
        <w:t>将清洗过的种苗移栽到用育苗基质铺成的苗床，浇足定根水后，及时加盖一层</w:t>
      </w:r>
      <w:r>
        <w:rPr>
          <w:rFonts w:ascii="Times New Roman"/>
        </w:rPr>
        <w:t> </w:t>
      </w:r>
      <w:r>
        <w:rPr>
          <w:rFonts w:hint="eastAsia"/>
        </w:rPr>
        <w:t>0.005</w:t>
      </w:r>
      <w:r>
        <w:rPr>
          <w:rFonts w:ascii="Times New Roman"/>
        </w:rPr>
        <w:t> </w:t>
      </w:r>
      <w:r>
        <w:rPr>
          <w:rFonts w:hint="eastAsia"/>
        </w:rPr>
        <w:t>mm</w:t>
      </w:r>
      <w:r>
        <w:rPr>
          <w:rFonts w:ascii="Times New Roman"/>
        </w:rPr>
        <w:t> </w:t>
      </w:r>
      <w:r>
        <w:rPr>
          <w:rFonts w:hint="eastAsia"/>
        </w:rPr>
        <w:t>的白色薄膜，薄膜四周压实。</w:t>
      </w:r>
    </w:p>
    <w:p w14:paraId="48762EED">
      <w:pPr>
        <w:pStyle w:val="108"/>
        <w:spacing w:before="120" w:after="120"/>
        <w:ind w:left="0"/>
      </w:pPr>
      <w:r>
        <w:rPr>
          <w:rFonts w:hint="eastAsia"/>
        </w:rPr>
        <w:t>揭膜</w:t>
      </w:r>
    </w:p>
    <w:p w14:paraId="78F31C40">
      <w:pPr>
        <w:pStyle w:val="59"/>
        <w:spacing w:line="400" w:lineRule="exact"/>
        <w:ind w:firstLine="420"/>
      </w:pPr>
      <w:r>
        <w:rPr>
          <w:rFonts w:hint="eastAsia"/>
        </w:rPr>
        <w:t>移栽</w:t>
      </w:r>
      <w:r>
        <w:rPr>
          <w:rFonts w:ascii="Times New Roman"/>
        </w:rPr>
        <w:t> </w:t>
      </w:r>
      <w:r>
        <w:rPr>
          <w:rFonts w:hint="eastAsia"/>
        </w:rPr>
        <w:t>7</w:t>
      </w:r>
      <w:r>
        <w:rPr>
          <w:rFonts w:ascii="Times New Roman"/>
        </w:rPr>
        <w:t> </w:t>
      </w:r>
      <w:r>
        <w:rPr>
          <w:rFonts w:hint="eastAsia"/>
        </w:rPr>
        <w:t>d～</w:t>
      </w:r>
      <w:r>
        <w:rPr>
          <w:rFonts w:ascii="Times New Roman"/>
        </w:rPr>
        <w:t> </w:t>
      </w:r>
      <w:r>
        <w:rPr>
          <w:rFonts w:hint="eastAsia"/>
        </w:rPr>
        <w:t>10</w:t>
      </w:r>
      <w:r>
        <w:rPr>
          <w:rFonts w:ascii="Times New Roman"/>
        </w:rPr>
        <w:t> </w:t>
      </w:r>
      <w:r>
        <w:rPr>
          <w:rFonts w:hint="eastAsia"/>
        </w:rPr>
        <w:t>d长出新叶或叶片颜色开始转绿后，将盖膜完全揭开。</w:t>
      </w:r>
    </w:p>
    <w:p w14:paraId="218FC182">
      <w:pPr>
        <w:pStyle w:val="108"/>
        <w:spacing w:before="120" w:after="120"/>
        <w:ind w:left="0"/>
      </w:pPr>
      <w:r>
        <w:rPr>
          <w:rFonts w:hint="eastAsia"/>
        </w:rPr>
        <w:t>上杯</w:t>
      </w:r>
    </w:p>
    <w:p w14:paraId="22FF4E41">
      <w:pPr>
        <w:pStyle w:val="59"/>
        <w:spacing w:line="400" w:lineRule="exact"/>
        <w:ind w:firstLine="420"/>
        <w:rPr>
          <w:rFonts w:ascii="Times New Roman"/>
        </w:rPr>
      </w:pPr>
      <w:r>
        <w:rPr>
          <w:rFonts w:ascii="Times New Roman"/>
        </w:rPr>
        <w:t>待假植苗长出 2 ～ 3 片新叶后，将假植苗移栽到带有育苗基质的 10 cm × 10 cm ～10 cm × 12cm且底部具有沥水孔的塑料育苗杯内。</w:t>
      </w:r>
    </w:p>
    <w:p w14:paraId="3769C5AB">
      <w:pPr>
        <w:pStyle w:val="108"/>
        <w:spacing w:before="120" w:after="120"/>
        <w:ind w:left="0"/>
      </w:pPr>
      <w:r>
        <w:rPr>
          <w:rFonts w:hint="eastAsia"/>
        </w:rPr>
        <w:t>调苗</w:t>
      </w:r>
    </w:p>
    <w:p w14:paraId="6FD0F17B">
      <w:pPr>
        <w:pStyle w:val="59"/>
        <w:spacing w:line="400" w:lineRule="atLeast"/>
        <w:ind w:firstLine="420"/>
      </w:pPr>
      <w:r>
        <w:rPr>
          <w:rFonts w:hint="eastAsia"/>
        </w:rPr>
        <w:t>上杯后的蕉苗长出</w:t>
      </w:r>
      <w:r>
        <w:rPr>
          <w:rFonts w:ascii="Times New Roman"/>
        </w:rPr>
        <w:t> </w:t>
      </w:r>
      <w:r>
        <w:rPr>
          <w:rFonts w:hint="eastAsia"/>
        </w:rPr>
        <w:t>3</w:t>
      </w:r>
      <w:r>
        <w:rPr>
          <w:rFonts w:ascii="Times New Roman"/>
        </w:rPr>
        <w:t> </w:t>
      </w:r>
      <w:r>
        <w:rPr>
          <w:rFonts w:hint="eastAsia"/>
        </w:rPr>
        <w:t>～</w:t>
      </w:r>
      <w:r>
        <w:rPr>
          <w:rFonts w:ascii="Times New Roman"/>
        </w:rPr>
        <w:t> </w:t>
      </w:r>
      <w:r>
        <w:rPr>
          <w:rFonts w:hint="eastAsia"/>
        </w:rPr>
        <w:t>4</w:t>
      </w:r>
      <w:r>
        <w:rPr>
          <w:rFonts w:ascii="Times New Roman"/>
        </w:rPr>
        <w:t> </w:t>
      </w:r>
      <w:r>
        <w:rPr>
          <w:rFonts w:hint="eastAsia"/>
        </w:rPr>
        <w:t>片新叶后，及时剔除病死苗，根据蕉苗的大小进行分级归类管理。</w:t>
      </w:r>
    </w:p>
    <w:p w14:paraId="3DCCFD03">
      <w:pPr>
        <w:pStyle w:val="108"/>
        <w:spacing w:before="120" w:after="120"/>
        <w:ind w:left="0"/>
      </w:pPr>
      <w:r>
        <w:rPr>
          <w:rFonts w:hint="eastAsia"/>
        </w:rPr>
        <w:t>管理</w:t>
      </w:r>
    </w:p>
    <w:p w14:paraId="7C132358">
      <w:pPr>
        <w:pStyle w:val="68"/>
        <w:spacing w:before="120" w:after="120"/>
      </w:pPr>
      <w:r>
        <w:rPr>
          <w:rFonts w:hint="eastAsia"/>
        </w:rPr>
        <w:t>水分管理</w:t>
      </w:r>
    </w:p>
    <w:p w14:paraId="053FDD36">
      <w:pPr>
        <w:pStyle w:val="59"/>
        <w:spacing w:line="400" w:lineRule="exact"/>
        <w:ind w:firstLine="420"/>
        <w:rPr>
          <w:rFonts w:ascii="Times New Roman"/>
        </w:rPr>
      </w:pPr>
      <w:r>
        <w:rPr>
          <w:rFonts w:ascii="Times New Roman"/>
        </w:rPr>
        <w:t>移栽后浇足定根水。揭膜后加强水分管理，高温干燥季节，宜每天喷淋水1 ～ 3次。基质含水分保持在60 ％ ～70 ％。</w:t>
      </w:r>
    </w:p>
    <w:p w14:paraId="7E160601">
      <w:pPr>
        <w:pStyle w:val="68"/>
        <w:spacing w:before="120" w:after="120"/>
      </w:pPr>
      <w:r>
        <w:rPr>
          <w:rFonts w:hint="eastAsia"/>
        </w:rPr>
        <w:t>光照控制</w:t>
      </w:r>
    </w:p>
    <w:p w14:paraId="2DF146B5">
      <w:pPr>
        <w:pStyle w:val="59"/>
        <w:spacing w:line="400" w:lineRule="exact"/>
        <w:ind w:firstLine="420"/>
      </w:pPr>
      <w:r>
        <w:rPr>
          <w:rFonts w:hint="eastAsia"/>
        </w:rPr>
        <w:t>夏季光照强烈时采用</w:t>
      </w:r>
      <w:r>
        <w:rPr>
          <w:rFonts w:ascii="Times New Roman"/>
        </w:rPr>
        <w:t> </w:t>
      </w:r>
      <w:r>
        <w:rPr>
          <w:rFonts w:hint="eastAsia"/>
        </w:rPr>
        <w:t>70</w:t>
      </w:r>
      <w:r>
        <w:rPr>
          <w:rFonts w:ascii="Times New Roman"/>
        </w:rPr>
        <w:t> </w:t>
      </w:r>
      <w:r>
        <w:rPr>
          <w:rFonts w:hint="eastAsia"/>
        </w:rPr>
        <w:t>%</w:t>
      </w:r>
      <w:r>
        <w:rPr>
          <w:rFonts w:ascii="Times New Roman"/>
        </w:rPr>
        <w:t> </w:t>
      </w:r>
      <w:r>
        <w:rPr>
          <w:rFonts w:hint="eastAsia"/>
        </w:rPr>
        <w:t>～</w:t>
      </w:r>
      <w:r>
        <w:rPr>
          <w:rFonts w:ascii="Times New Roman"/>
        </w:rPr>
        <w:t> </w:t>
      </w:r>
      <w:r>
        <w:rPr>
          <w:rFonts w:hint="eastAsia"/>
        </w:rPr>
        <w:t>80</w:t>
      </w:r>
      <w:r>
        <w:rPr>
          <w:rFonts w:ascii="Times New Roman"/>
        </w:rPr>
        <w:t> </w:t>
      </w:r>
      <w:r>
        <w:rPr>
          <w:rFonts w:hint="eastAsia"/>
        </w:rPr>
        <w:t>%</w:t>
      </w:r>
      <w:r>
        <w:rPr>
          <w:rFonts w:ascii="Times New Roman"/>
        </w:rPr>
        <w:t> </w:t>
      </w:r>
      <w:r>
        <w:rPr>
          <w:rFonts w:hint="eastAsia"/>
        </w:rPr>
        <w:t>遮阳网遮盖，中午时段采用</w:t>
      </w:r>
      <w:r>
        <w:rPr>
          <w:rFonts w:ascii="Times New Roman"/>
        </w:rPr>
        <w:t> </w:t>
      </w:r>
      <w:r>
        <w:rPr>
          <w:rFonts w:hint="eastAsia"/>
        </w:rPr>
        <w:t>2</w:t>
      </w:r>
      <w:r>
        <w:rPr>
          <w:rFonts w:ascii="Times New Roman"/>
        </w:rPr>
        <w:t> </w:t>
      </w:r>
      <w:r>
        <w:rPr>
          <w:rFonts w:hint="eastAsia"/>
        </w:rPr>
        <w:t>层</w:t>
      </w:r>
      <w:r>
        <w:rPr>
          <w:rFonts w:ascii="Times New Roman"/>
        </w:rPr>
        <w:t> </w:t>
      </w:r>
      <w:r>
        <w:rPr>
          <w:rFonts w:hint="eastAsia"/>
        </w:rPr>
        <w:t>70</w:t>
      </w:r>
      <w:r>
        <w:rPr>
          <w:rFonts w:ascii="Times New Roman"/>
        </w:rPr>
        <w:t> </w:t>
      </w:r>
      <w:r>
        <w:rPr>
          <w:rFonts w:hint="eastAsia"/>
        </w:rPr>
        <w:t>%</w:t>
      </w:r>
      <w:r>
        <w:rPr>
          <w:rFonts w:ascii="Times New Roman"/>
        </w:rPr>
        <w:t> </w:t>
      </w:r>
      <w:r>
        <w:rPr>
          <w:rFonts w:hint="eastAsia"/>
        </w:rPr>
        <w:t>～</w:t>
      </w:r>
      <w:r>
        <w:rPr>
          <w:rFonts w:ascii="Times New Roman"/>
        </w:rPr>
        <w:t> </w:t>
      </w:r>
      <w:r>
        <w:rPr>
          <w:rFonts w:hint="eastAsia"/>
        </w:rPr>
        <w:t>80</w:t>
      </w:r>
      <w:r>
        <w:rPr>
          <w:rFonts w:ascii="Times New Roman"/>
        </w:rPr>
        <w:t> </w:t>
      </w:r>
      <w:r>
        <w:rPr>
          <w:rFonts w:hint="eastAsia"/>
        </w:rPr>
        <w:t>%遮阳网遮盖；冬季光照较弱时，可不盖遮阳网。</w:t>
      </w:r>
    </w:p>
    <w:p w14:paraId="1C32486D">
      <w:pPr>
        <w:pStyle w:val="68"/>
        <w:spacing w:before="120" w:after="120"/>
      </w:pPr>
      <w:r>
        <w:rPr>
          <w:rFonts w:hint="eastAsia"/>
        </w:rPr>
        <w:t>温度控制</w:t>
      </w:r>
    </w:p>
    <w:p w14:paraId="501139B1">
      <w:pPr>
        <w:pStyle w:val="59"/>
        <w:spacing w:line="400" w:lineRule="exact"/>
        <w:ind w:firstLine="420"/>
      </w:pPr>
      <w:r>
        <w:rPr>
          <w:rFonts w:hint="eastAsia"/>
        </w:rPr>
        <w:t>育苗较适宜的温度为</w:t>
      </w:r>
      <w:r>
        <w:rPr>
          <w:rFonts w:ascii="Times New Roman"/>
        </w:rPr>
        <w:t> </w:t>
      </w:r>
      <w:r>
        <w:rPr>
          <w:rFonts w:hint="eastAsia"/>
        </w:rPr>
        <w:t>25</w:t>
      </w:r>
      <w:r>
        <w:rPr>
          <w:rFonts w:ascii="Times New Roman"/>
        </w:rPr>
        <w:t> </w:t>
      </w:r>
      <w:r>
        <w:rPr>
          <w:rFonts w:hint="eastAsia"/>
        </w:rPr>
        <w:t>℃</w:t>
      </w:r>
      <w:r>
        <w:rPr>
          <w:rFonts w:ascii="Times New Roman"/>
        </w:rPr>
        <w:t> </w:t>
      </w:r>
      <w:r>
        <w:rPr>
          <w:rFonts w:hint="eastAsia"/>
        </w:rPr>
        <w:t>～</w:t>
      </w:r>
      <w:r>
        <w:rPr>
          <w:rFonts w:ascii="Times New Roman"/>
        </w:rPr>
        <w:t> </w:t>
      </w:r>
      <w:r>
        <w:rPr>
          <w:rFonts w:hint="eastAsia"/>
        </w:rPr>
        <w:t>30</w:t>
      </w:r>
      <w:r>
        <w:rPr>
          <w:rFonts w:ascii="Times New Roman"/>
        </w:rPr>
        <w:t> </w:t>
      </w:r>
      <w:r>
        <w:rPr>
          <w:rFonts w:hint="eastAsia"/>
        </w:rPr>
        <w:t>℃，在夏季可通过遮阳网、淋水等措施降温。冬天可通过覆盖薄膜、增加光照等措施提高棚内温度。</w:t>
      </w:r>
    </w:p>
    <w:p w14:paraId="3FDF08B4">
      <w:pPr>
        <w:pStyle w:val="68"/>
        <w:spacing w:before="120" w:after="120"/>
      </w:pPr>
      <w:r>
        <w:rPr>
          <w:rFonts w:hint="eastAsia"/>
        </w:rPr>
        <w:t>施肥</w:t>
      </w:r>
    </w:p>
    <w:p w14:paraId="6A5DAD37">
      <w:pPr>
        <w:pStyle w:val="59"/>
        <w:spacing w:line="400" w:lineRule="exact"/>
        <w:ind w:firstLine="420"/>
      </w:pPr>
      <w:r>
        <w:rPr>
          <w:rFonts w:hint="eastAsia"/>
        </w:rPr>
        <w:t>待蕉苗长出</w:t>
      </w:r>
      <w:r>
        <w:rPr>
          <w:rFonts w:ascii="Times New Roman"/>
        </w:rPr>
        <w:t> </w:t>
      </w:r>
      <w:r>
        <w:rPr>
          <w:rFonts w:hint="eastAsia"/>
        </w:rPr>
        <w:t>2</w:t>
      </w:r>
      <w:r>
        <w:rPr>
          <w:rFonts w:ascii="Times New Roman"/>
        </w:rPr>
        <w:t> </w:t>
      </w:r>
      <w:r>
        <w:rPr>
          <w:rFonts w:hint="eastAsia"/>
        </w:rPr>
        <w:t>片新叶后，用</w:t>
      </w:r>
      <w:r>
        <w:rPr>
          <w:rFonts w:ascii="Times New Roman"/>
        </w:rPr>
        <w:t> </w:t>
      </w:r>
      <w:r>
        <w:rPr>
          <w:rFonts w:hint="eastAsia"/>
        </w:rPr>
        <w:t>0.1</w:t>
      </w:r>
      <w:r>
        <w:rPr>
          <w:rFonts w:ascii="Times New Roman"/>
        </w:rPr>
        <w:t> </w:t>
      </w:r>
      <w:r>
        <w:rPr>
          <w:rFonts w:hint="eastAsia"/>
        </w:rPr>
        <w:t>%</w:t>
      </w:r>
      <w:r>
        <w:rPr>
          <w:rFonts w:ascii="Times New Roman"/>
        </w:rPr>
        <w:t> </w:t>
      </w:r>
      <w:r>
        <w:rPr>
          <w:rFonts w:hint="eastAsia"/>
        </w:rPr>
        <w:t>磷酸二氢钾或复合肥（N:P:K=15：15：15）淋施。30</w:t>
      </w:r>
      <w:r>
        <w:rPr>
          <w:rFonts w:ascii="Times New Roman"/>
        </w:rPr>
        <w:t> </w:t>
      </w:r>
      <w:r>
        <w:rPr>
          <w:rFonts w:hint="eastAsia"/>
        </w:rPr>
        <w:t>d</w:t>
      </w:r>
      <w:r>
        <w:rPr>
          <w:rFonts w:ascii="Times New Roman"/>
        </w:rPr>
        <w:t> </w:t>
      </w:r>
      <w:r>
        <w:rPr>
          <w:rFonts w:hint="eastAsia"/>
        </w:rPr>
        <w:t>后淋施</w:t>
      </w:r>
      <w:r>
        <w:rPr>
          <w:rFonts w:ascii="Times New Roman"/>
        </w:rPr>
        <w:t> </w:t>
      </w:r>
      <w:r>
        <w:rPr>
          <w:rFonts w:hint="eastAsia"/>
        </w:rPr>
        <w:t>0.2</w:t>
      </w:r>
      <w:r>
        <w:rPr>
          <w:rFonts w:ascii="Times New Roman"/>
        </w:rPr>
        <w:t> </w:t>
      </w:r>
      <w:r>
        <w:rPr>
          <w:rFonts w:hint="eastAsia"/>
        </w:rPr>
        <w:t>%～0.4</w:t>
      </w:r>
      <w:r>
        <w:rPr>
          <w:rFonts w:ascii="Times New Roman"/>
        </w:rPr>
        <w:t> </w:t>
      </w:r>
      <w:r>
        <w:rPr>
          <w:rFonts w:hint="eastAsia"/>
        </w:rPr>
        <w:t>%</w:t>
      </w:r>
      <w:r>
        <w:rPr>
          <w:rFonts w:ascii="Times New Roman"/>
        </w:rPr>
        <w:t> </w:t>
      </w:r>
      <w:r>
        <w:rPr>
          <w:rFonts w:hint="eastAsia"/>
        </w:rPr>
        <w:t>复合肥（N:P:K=15：15：15）溶液，每隔5</w:t>
      </w:r>
      <w:r>
        <w:rPr>
          <w:rFonts w:ascii="Times New Roman"/>
        </w:rPr>
        <w:t> </w:t>
      </w:r>
      <w:r>
        <w:rPr>
          <w:rFonts w:hint="eastAsia"/>
        </w:rPr>
        <w:t>d</w:t>
      </w:r>
      <w:r>
        <w:rPr>
          <w:rFonts w:ascii="Times New Roman"/>
        </w:rPr>
        <w:t> </w:t>
      </w:r>
      <w:r>
        <w:rPr>
          <w:rFonts w:hint="eastAsia"/>
        </w:rPr>
        <w:t>～</w:t>
      </w:r>
      <w:r>
        <w:rPr>
          <w:rFonts w:ascii="Times New Roman"/>
        </w:rPr>
        <w:t> </w:t>
      </w:r>
      <w:r>
        <w:rPr>
          <w:rFonts w:hint="eastAsia"/>
        </w:rPr>
        <w:t>7</w:t>
      </w:r>
      <w:r>
        <w:rPr>
          <w:rFonts w:ascii="Times New Roman"/>
        </w:rPr>
        <w:t> </w:t>
      </w:r>
      <w:r>
        <w:rPr>
          <w:rFonts w:hint="eastAsia"/>
        </w:rPr>
        <w:t>d</w:t>
      </w:r>
      <w:r>
        <w:rPr>
          <w:rFonts w:ascii="Times New Roman"/>
        </w:rPr>
        <w:t> </w:t>
      </w:r>
      <w:r>
        <w:rPr>
          <w:rFonts w:hint="eastAsia"/>
        </w:rPr>
        <w:t>淋施一次。</w:t>
      </w:r>
    </w:p>
    <w:p w14:paraId="26CB104B">
      <w:pPr>
        <w:pStyle w:val="68"/>
        <w:spacing w:before="120" w:after="120"/>
      </w:pPr>
      <w:r>
        <w:rPr>
          <w:rFonts w:hint="eastAsia"/>
        </w:rPr>
        <w:t>病虫害防治</w:t>
      </w:r>
    </w:p>
    <w:p w14:paraId="573CC3A5">
      <w:pPr>
        <w:pStyle w:val="59"/>
        <w:spacing w:line="400" w:lineRule="exact"/>
        <w:ind w:firstLine="420"/>
      </w:pPr>
      <w:r>
        <w:rPr>
          <w:rFonts w:hint="eastAsia"/>
        </w:rPr>
        <w:t>重点加强香蕉枯萎病的防控，做好与外界的隔离，育苗过程避免香蕉枯萎病菌传入。育苗阶段主要的病虫害有根结线虫、纹枯病、叶斑病、蕉瘟病等，育苗过程中根据植株病虫害发生规律和实际情况，做好病虫害防控工作。</w:t>
      </w:r>
    </w:p>
    <w:p w14:paraId="512A65D6">
      <w:pPr>
        <w:pStyle w:val="68"/>
        <w:spacing w:before="120" w:after="120"/>
      </w:pPr>
      <w:r>
        <w:rPr>
          <w:rFonts w:hint="eastAsia"/>
        </w:rPr>
        <w:t>变异株剔除</w:t>
      </w:r>
    </w:p>
    <w:p w14:paraId="629194DD">
      <w:pPr>
        <w:pStyle w:val="59"/>
        <w:spacing w:line="400" w:lineRule="exact"/>
        <w:ind w:firstLine="420"/>
      </w:pPr>
      <w:r>
        <w:rPr>
          <w:rFonts w:hint="eastAsia"/>
        </w:rPr>
        <w:t>香蕉组培苗会存在变异株，形态不同于正常蕉苗，育苗过程中要认真识别、剔除变异株。香蕉组培营养杯苗的变异株从形态上区分主要有以下几种类型：</w:t>
      </w:r>
    </w:p>
    <w:p w14:paraId="0608BF20">
      <w:pPr>
        <w:pStyle w:val="59"/>
        <w:spacing w:line="400" w:lineRule="exact"/>
        <w:ind w:firstLine="420"/>
      </w:pPr>
      <w:r>
        <w:rPr>
          <w:rFonts w:hint="eastAsia"/>
        </w:rPr>
        <w:t>矮变型：假茎矮粗，叶距紧密，叶柄粗短，叶片圆厚，叶色浓绿。</w:t>
      </w:r>
    </w:p>
    <w:p w14:paraId="1898E420">
      <w:pPr>
        <w:pStyle w:val="59"/>
        <w:spacing w:line="400" w:lineRule="exact"/>
        <w:ind w:firstLine="420"/>
      </w:pPr>
      <w:r>
        <w:rPr>
          <w:rFonts w:hint="eastAsia"/>
        </w:rPr>
        <w:t>尖叶型：假茎细弱，叶距长，叶片尖细。</w:t>
      </w:r>
    </w:p>
    <w:p w14:paraId="3C746DA0">
      <w:pPr>
        <w:pStyle w:val="59"/>
        <w:spacing w:line="400" w:lineRule="exact"/>
        <w:ind w:firstLine="420"/>
      </w:pPr>
      <w:r>
        <w:rPr>
          <w:rFonts w:hint="eastAsia"/>
        </w:rPr>
        <w:t>红杆型：假茎呈红色、棕红色或浅红色。</w:t>
      </w:r>
    </w:p>
    <w:p w14:paraId="599E7056">
      <w:pPr>
        <w:pStyle w:val="59"/>
        <w:spacing w:line="400" w:lineRule="exact"/>
        <w:ind w:firstLine="420"/>
      </w:pPr>
      <w:r>
        <w:rPr>
          <w:rFonts w:hint="eastAsia"/>
        </w:rPr>
        <w:t>青杆型：假茎呈青色，叶距较长。</w:t>
      </w:r>
    </w:p>
    <w:p w14:paraId="2E486B96">
      <w:pPr>
        <w:pStyle w:val="59"/>
        <w:spacing w:line="400" w:lineRule="exact"/>
        <w:ind w:firstLine="420"/>
      </w:pPr>
      <w:r>
        <w:rPr>
          <w:rFonts w:hint="eastAsia"/>
        </w:rPr>
        <w:t>褪绿型：叶片沿叶脉方向出现白色、黄色或黄白色不规则斑块或条斑。</w:t>
      </w:r>
    </w:p>
    <w:p w14:paraId="2B5412E4">
      <w:pPr>
        <w:pStyle w:val="59"/>
        <w:spacing w:line="400" w:lineRule="exact"/>
        <w:ind w:firstLine="420"/>
      </w:pPr>
      <w:r>
        <w:rPr>
          <w:rFonts w:hint="eastAsia"/>
        </w:rPr>
        <w:t>皱叶型：叶片皱缩扭曲，或中肋两侧的叶片不对称，叶片缺失变形。</w:t>
      </w:r>
    </w:p>
    <w:p w14:paraId="53656D8C">
      <w:pPr>
        <w:pStyle w:val="108"/>
        <w:spacing w:before="120" w:after="120"/>
        <w:ind w:left="0"/>
      </w:pPr>
      <w:r>
        <w:rPr>
          <w:rFonts w:hint="eastAsia"/>
        </w:rPr>
        <w:t>植株检测</w:t>
      </w:r>
    </w:p>
    <w:p w14:paraId="752880F4">
      <w:pPr>
        <w:pStyle w:val="59"/>
        <w:spacing w:line="400" w:lineRule="atLeast"/>
        <w:ind w:firstLine="420"/>
      </w:pPr>
      <w:r>
        <w:rPr>
          <w:rFonts w:hint="eastAsia"/>
        </w:rPr>
        <w:t>在蕉苗出圃前检测香蕉枯萎病（香牙蕉检测香蕉枯萎病</w:t>
      </w:r>
      <w:r>
        <w:rPr>
          <w:rFonts w:ascii="Times New Roman"/>
        </w:rPr>
        <w:t> </w:t>
      </w:r>
      <w:r>
        <w:rPr>
          <w:rFonts w:hint="eastAsia"/>
        </w:rPr>
        <w:t>4</w:t>
      </w:r>
      <w:r>
        <w:rPr>
          <w:rFonts w:ascii="Times New Roman"/>
        </w:rPr>
        <w:t> </w:t>
      </w:r>
      <w:r>
        <w:rPr>
          <w:rFonts w:hint="eastAsia"/>
        </w:rPr>
        <w:t>号小种，粉蕉检测香蕉枯萎病</w:t>
      </w:r>
      <w:r>
        <w:rPr>
          <w:rFonts w:ascii="Times New Roman"/>
        </w:rPr>
        <w:t> </w:t>
      </w:r>
      <w:r>
        <w:rPr>
          <w:rFonts w:hint="eastAsia"/>
        </w:rPr>
        <w:t>1</w:t>
      </w:r>
      <w:r>
        <w:rPr>
          <w:rFonts w:ascii="Times New Roman"/>
        </w:rPr>
        <w:t> </w:t>
      </w:r>
      <w:r>
        <w:rPr>
          <w:rFonts w:hint="eastAsia"/>
        </w:rPr>
        <w:t>号和</w:t>
      </w:r>
      <w:r>
        <w:rPr>
          <w:rFonts w:ascii="Times New Roman"/>
        </w:rPr>
        <w:t> </w:t>
      </w:r>
      <w:r>
        <w:rPr>
          <w:rFonts w:hint="eastAsia"/>
        </w:rPr>
        <w:t>4</w:t>
      </w:r>
      <w:r>
        <w:rPr>
          <w:rFonts w:ascii="Times New Roman"/>
        </w:rPr>
        <w:t> </w:t>
      </w:r>
      <w:r>
        <w:rPr>
          <w:rFonts w:hint="eastAsia"/>
        </w:rPr>
        <w:t>号小种）、香蕉花叶心腐病、香蕉束顶病和香蕉线条病，抽检规则和检测方法按</w:t>
      </w:r>
      <w:r>
        <w:rPr>
          <w:rFonts w:ascii="Times New Roman"/>
        </w:rPr>
        <w:t> </w:t>
      </w:r>
      <w:r>
        <w:rPr>
          <w:rFonts w:hint="eastAsia"/>
        </w:rPr>
        <w:t>SN/T 5012-2017</w:t>
      </w:r>
      <w:r>
        <w:rPr>
          <w:rFonts w:ascii="Times New Roman"/>
        </w:rPr>
        <w:t> </w:t>
      </w:r>
      <w:r>
        <w:rPr>
          <w:rFonts w:hint="eastAsia"/>
        </w:rPr>
        <w:t>和</w:t>
      </w:r>
      <w:r>
        <w:rPr>
          <w:rFonts w:ascii="Times New Roman"/>
        </w:rPr>
        <w:t> </w:t>
      </w:r>
      <w:r>
        <w:rPr>
          <w:rFonts w:hint="eastAsia"/>
        </w:rPr>
        <w:t>NT/T 2120的规定执行，病株检出率为</w:t>
      </w:r>
      <w:r>
        <w:rPr>
          <w:rFonts w:ascii="Times New Roman"/>
        </w:rPr>
        <w:t> </w:t>
      </w:r>
      <w:r>
        <w:rPr>
          <w:rFonts w:hint="eastAsia"/>
        </w:rPr>
        <w:t>0。发现病株应立即全部销毁。</w:t>
      </w:r>
    </w:p>
    <w:p w14:paraId="2DE7FC77">
      <w:pPr>
        <w:pStyle w:val="108"/>
        <w:spacing w:before="120" w:after="120"/>
        <w:ind w:left="0"/>
      </w:pPr>
      <w:r>
        <w:rPr>
          <w:rFonts w:hint="eastAsia"/>
        </w:rPr>
        <w:t>出圃</w:t>
      </w:r>
      <w:r>
        <w:rPr>
          <w:rFonts w:hint="eastAsia"/>
        </w:rPr>
        <w:tab/>
      </w:r>
    </w:p>
    <w:p w14:paraId="20913CE8">
      <w:pPr>
        <w:pStyle w:val="59"/>
        <w:spacing w:line="400" w:lineRule="exact"/>
        <w:ind w:firstLine="420"/>
        <w:sectPr>
          <w:pgSz w:w="11906" w:h="16838"/>
          <w:pgMar w:top="1928" w:right="1134" w:bottom="1134" w:left="1134" w:header="1418" w:footer="1134" w:gutter="284"/>
          <w:cols w:space="425" w:num="1"/>
          <w:formProt w:val="0"/>
          <w:docGrid w:linePitch="312" w:charSpace="0"/>
        </w:sectPr>
      </w:pPr>
      <w:r>
        <w:rPr>
          <w:rFonts w:hint="eastAsia"/>
        </w:rPr>
        <w:t>出圃前</w:t>
      </w:r>
      <w:r>
        <w:rPr>
          <w:rFonts w:ascii="Times New Roman"/>
        </w:rPr>
        <w:t> </w:t>
      </w:r>
      <w:r>
        <w:rPr>
          <w:rFonts w:hint="eastAsia"/>
        </w:rPr>
        <w:t>10</w:t>
      </w:r>
      <w:r>
        <w:rPr>
          <w:rFonts w:ascii="Times New Roman"/>
        </w:rPr>
        <w:t> </w:t>
      </w:r>
      <w:r>
        <w:rPr>
          <w:rFonts w:hint="eastAsia"/>
        </w:rPr>
        <w:t>～</w:t>
      </w:r>
      <w:r>
        <w:rPr>
          <w:rFonts w:ascii="Times New Roman"/>
        </w:rPr>
        <w:t> </w:t>
      </w:r>
      <w:r>
        <w:rPr>
          <w:rFonts w:hint="eastAsia"/>
        </w:rPr>
        <w:t>15</w:t>
      </w:r>
      <w:r>
        <w:rPr>
          <w:rFonts w:ascii="Times New Roman"/>
        </w:rPr>
        <w:t> </w:t>
      </w:r>
      <w:r>
        <w:rPr>
          <w:rFonts w:hint="eastAsia"/>
        </w:rPr>
        <w:t>天，逐步拆除遮光网和薄膜，开棚炼苗，使蕉苗适应外界气候。出圃时，根据</w:t>
      </w:r>
      <w:r>
        <w:rPr>
          <w:rFonts w:ascii="Times New Roman"/>
        </w:rPr>
        <w:t> </w:t>
      </w:r>
      <w:r>
        <w:rPr>
          <w:rFonts w:hint="eastAsia"/>
        </w:rPr>
        <w:t>4.2.2分级标准分批挑选大小均匀、健壮的蕉苗，选苗、搬运和装车过程中，保持营养杯不破裂，育苗基质不松散，避免叶片、假茎和根系的损伤。</w:t>
      </w:r>
    </w:p>
    <w:bookmarkEnd w:id="22"/>
    <w:p w14:paraId="37CD2365">
      <w:pPr>
        <w:pStyle w:val="201"/>
        <w:rPr>
          <w:rFonts w:hint="eastAsia"/>
        </w:rPr>
      </w:pPr>
      <w:bookmarkStart w:id="44" w:name="BookMark5"/>
    </w:p>
    <w:p w14:paraId="42E5B858">
      <w:pPr>
        <w:pStyle w:val="202"/>
        <w:rPr>
          <w:rFonts w:hint="eastAsia"/>
        </w:rPr>
      </w:pPr>
    </w:p>
    <w:p w14:paraId="726D985C">
      <w:pPr>
        <w:pStyle w:val="79"/>
        <w:rPr>
          <w:rFonts w:hint="eastAsia"/>
        </w:rPr>
      </w:pPr>
      <w:r>
        <w:br w:type="textWrapping"/>
      </w:r>
      <w:r>
        <w:rPr>
          <w:rFonts w:hint="eastAsia"/>
        </w:rPr>
        <w:t>（资料性）</w:t>
      </w:r>
      <w:r>
        <w:br w:type="textWrapping"/>
      </w:r>
      <w:r>
        <w:rPr>
          <w:rFonts w:hint="eastAsia"/>
        </w:rPr>
        <w:t>MS培养基母液及培养基配制参考</w:t>
      </w:r>
    </w:p>
    <w:p w14:paraId="29D8F5C1">
      <w:pPr>
        <w:pStyle w:val="59"/>
        <w:ind w:firstLine="420"/>
        <w:rPr>
          <w:rFonts w:ascii="Times New Roman"/>
        </w:rPr>
      </w:pPr>
      <w:r>
        <w:rPr>
          <w:rFonts w:ascii="Times New Roman"/>
        </w:rPr>
        <w:t>MS 培养基母液及培养基配制参考见表 A.1。</w:t>
      </w:r>
    </w:p>
    <w:p w14:paraId="0358AE3B">
      <w:pPr>
        <w:pStyle w:val="80"/>
        <w:spacing w:before="120" w:after="120"/>
      </w:pPr>
      <w:r>
        <w:rPr>
          <w:rFonts w:hint="eastAsia"/>
        </w:rPr>
        <w:t>MS培养基母液及培养基配制</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690"/>
        <w:gridCol w:w="1550"/>
        <w:gridCol w:w="950"/>
        <w:gridCol w:w="1130"/>
        <w:gridCol w:w="1360"/>
        <w:gridCol w:w="1932"/>
      </w:tblGrid>
      <w:tr w14:paraId="6CE34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14:paraId="635DB7B6">
            <w:pPr>
              <w:pStyle w:val="59"/>
              <w:ind w:firstLine="0" w:firstLineChars="0"/>
              <w:jc w:val="center"/>
              <w:rPr>
                <w:rFonts w:ascii="Times New Roman"/>
                <w:sz w:val="18"/>
                <w:szCs w:val="18"/>
              </w:rPr>
            </w:pPr>
            <w:r>
              <w:rPr>
                <w:rFonts w:ascii="Times New Roman"/>
                <w:sz w:val="18"/>
                <w:szCs w:val="18"/>
              </w:rPr>
              <w:t>母液</w:t>
            </w:r>
          </w:p>
          <w:p w14:paraId="7C20BAFD">
            <w:pPr>
              <w:pStyle w:val="59"/>
              <w:ind w:firstLine="0" w:firstLineChars="0"/>
              <w:jc w:val="center"/>
              <w:rPr>
                <w:rFonts w:ascii="Times New Roman"/>
                <w:sz w:val="18"/>
                <w:szCs w:val="18"/>
              </w:rPr>
            </w:pPr>
            <w:r>
              <w:rPr>
                <w:rFonts w:ascii="Times New Roman"/>
                <w:sz w:val="18"/>
                <w:szCs w:val="18"/>
              </w:rPr>
              <w:t>名称</w:t>
            </w:r>
          </w:p>
        </w:tc>
        <w:tc>
          <w:tcPr>
            <w:tcW w:w="1690" w:type="dxa"/>
            <w:vAlign w:val="center"/>
          </w:tcPr>
          <w:p w14:paraId="0EB26689">
            <w:pPr>
              <w:pStyle w:val="59"/>
              <w:ind w:firstLine="0" w:firstLineChars="0"/>
              <w:jc w:val="center"/>
              <w:rPr>
                <w:rFonts w:ascii="Times New Roman"/>
                <w:sz w:val="18"/>
                <w:szCs w:val="18"/>
              </w:rPr>
            </w:pPr>
            <w:r>
              <w:rPr>
                <w:rFonts w:ascii="Times New Roman"/>
                <w:sz w:val="18"/>
                <w:szCs w:val="18"/>
              </w:rPr>
              <w:t>化学药品名称</w:t>
            </w:r>
          </w:p>
        </w:tc>
        <w:tc>
          <w:tcPr>
            <w:tcW w:w="1550" w:type="dxa"/>
            <w:vAlign w:val="center"/>
          </w:tcPr>
          <w:p w14:paraId="6D145B86">
            <w:pPr>
              <w:pStyle w:val="59"/>
              <w:ind w:firstLine="0" w:firstLineChars="0"/>
              <w:rPr>
                <w:rFonts w:ascii="Times New Roman"/>
                <w:sz w:val="18"/>
                <w:szCs w:val="18"/>
              </w:rPr>
            </w:pPr>
            <w:r>
              <w:rPr>
                <w:rFonts w:ascii="Times New Roman"/>
                <w:sz w:val="18"/>
                <w:szCs w:val="18"/>
              </w:rPr>
              <w:t>培养基配方用量</w:t>
            </w:r>
          </w:p>
          <w:p w14:paraId="41082801">
            <w:pPr>
              <w:pStyle w:val="59"/>
              <w:ind w:firstLine="0" w:firstLineChars="0"/>
              <w:jc w:val="center"/>
              <w:rPr>
                <w:rFonts w:ascii="Times New Roman"/>
                <w:sz w:val="18"/>
                <w:szCs w:val="18"/>
              </w:rPr>
            </w:pPr>
            <w:r>
              <w:rPr>
                <w:rFonts w:ascii="Times New Roman"/>
                <w:sz w:val="18"/>
                <w:szCs w:val="18"/>
              </w:rPr>
              <w:t>mg/L</w:t>
            </w:r>
          </w:p>
        </w:tc>
        <w:tc>
          <w:tcPr>
            <w:tcW w:w="950" w:type="dxa"/>
            <w:vAlign w:val="center"/>
          </w:tcPr>
          <w:p w14:paraId="60623C7C">
            <w:pPr>
              <w:pStyle w:val="59"/>
              <w:ind w:firstLine="0" w:firstLineChars="0"/>
              <w:rPr>
                <w:rFonts w:ascii="Times New Roman"/>
                <w:sz w:val="18"/>
                <w:szCs w:val="18"/>
              </w:rPr>
            </w:pPr>
            <w:r>
              <w:rPr>
                <w:rFonts w:ascii="Times New Roman"/>
                <w:sz w:val="18"/>
                <w:szCs w:val="18"/>
              </w:rPr>
              <w:t>扩大</w:t>
            </w:r>
          </w:p>
          <w:p w14:paraId="70F37FCF">
            <w:pPr>
              <w:pStyle w:val="59"/>
              <w:ind w:firstLine="0" w:firstLineChars="0"/>
              <w:rPr>
                <w:rFonts w:ascii="Times New Roman"/>
                <w:sz w:val="18"/>
                <w:szCs w:val="18"/>
              </w:rPr>
            </w:pPr>
            <w:r>
              <w:rPr>
                <w:rFonts w:ascii="Times New Roman"/>
                <w:sz w:val="18"/>
                <w:szCs w:val="18"/>
              </w:rPr>
              <w:t>倍数</w:t>
            </w:r>
          </w:p>
        </w:tc>
        <w:tc>
          <w:tcPr>
            <w:tcW w:w="1130" w:type="dxa"/>
            <w:vAlign w:val="center"/>
          </w:tcPr>
          <w:p w14:paraId="2268940C">
            <w:pPr>
              <w:pStyle w:val="59"/>
              <w:ind w:firstLine="0" w:firstLineChars="0"/>
              <w:jc w:val="center"/>
              <w:rPr>
                <w:rFonts w:ascii="Times New Roman"/>
                <w:sz w:val="18"/>
                <w:szCs w:val="18"/>
              </w:rPr>
            </w:pPr>
            <w:r>
              <w:rPr>
                <w:rFonts w:ascii="Times New Roman"/>
                <w:sz w:val="18"/>
                <w:szCs w:val="18"/>
              </w:rPr>
              <w:t>扩大后</w:t>
            </w:r>
          </w:p>
          <w:p w14:paraId="487B130C">
            <w:pPr>
              <w:pStyle w:val="59"/>
              <w:ind w:firstLine="0" w:firstLineChars="0"/>
              <w:jc w:val="center"/>
              <w:rPr>
                <w:rFonts w:ascii="Times New Roman"/>
                <w:sz w:val="18"/>
                <w:szCs w:val="18"/>
              </w:rPr>
            </w:pPr>
            <w:r>
              <w:rPr>
                <w:rFonts w:ascii="Times New Roman"/>
                <w:sz w:val="18"/>
                <w:szCs w:val="18"/>
              </w:rPr>
              <w:t>称量</w:t>
            </w:r>
          </w:p>
          <w:p w14:paraId="34968E19">
            <w:pPr>
              <w:pStyle w:val="59"/>
              <w:ind w:firstLine="0" w:firstLineChars="0"/>
              <w:jc w:val="center"/>
              <w:rPr>
                <w:rFonts w:ascii="Times New Roman"/>
                <w:sz w:val="18"/>
                <w:szCs w:val="18"/>
              </w:rPr>
            </w:pPr>
            <w:r>
              <w:rPr>
                <w:rFonts w:ascii="Times New Roman"/>
                <w:sz w:val="18"/>
                <w:szCs w:val="18"/>
              </w:rPr>
              <w:t>mg</w:t>
            </w:r>
          </w:p>
        </w:tc>
        <w:tc>
          <w:tcPr>
            <w:tcW w:w="1360" w:type="dxa"/>
            <w:vAlign w:val="center"/>
          </w:tcPr>
          <w:p w14:paraId="0ED62DA7">
            <w:pPr>
              <w:pStyle w:val="59"/>
              <w:ind w:firstLine="0" w:firstLineChars="0"/>
              <w:jc w:val="center"/>
              <w:rPr>
                <w:rFonts w:ascii="Times New Roman"/>
                <w:sz w:val="18"/>
                <w:szCs w:val="18"/>
              </w:rPr>
            </w:pPr>
            <w:r>
              <w:rPr>
                <w:rFonts w:ascii="Times New Roman"/>
                <w:sz w:val="18"/>
                <w:szCs w:val="18"/>
              </w:rPr>
              <w:t>母液定容体积</w:t>
            </w:r>
          </w:p>
          <w:p w14:paraId="49A2079B">
            <w:pPr>
              <w:pStyle w:val="59"/>
              <w:ind w:firstLine="360"/>
              <w:rPr>
                <w:rFonts w:ascii="Times New Roman"/>
                <w:sz w:val="18"/>
                <w:szCs w:val="18"/>
              </w:rPr>
            </w:pPr>
            <w:r>
              <w:rPr>
                <w:rFonts w:ascii="Times New Roman"/>
                <w:sz w:val="18"/>
                <w:szCs w:val="18"/>
              </w:rPr>
              <w:t>ml</w:t>
            </w:r>
          </w:p>
        </w:tc>
        <w:tc>
          <w:tcPr>
            <w:tcW w:w="1932" w:type="dxa"/>
            <w:vAlign w:val="center"/>
          </w:tcPr>
          <w:p w14:paraId="680A9807">
            <w:pPr>
              <w:pStyle w:val="59"/>
              <w:ind w:firstLine="0" w:firstLineChars="0"/>
              <w:jc w:val="center"/>
              <w:rPr>
                <w:rFonts w:ascii="Times New Roman"/>
                <w:sz w:val="18"/>
                <w:szCs w:val="18"/>
              </w:rPr>
            </w:pPr>
            <w:r>
              <w:rPr>
                <w:rFonts w:ascii="Times New Roman"/>
                <w:sz w:val="18"/>
                <w:szCs w:val="18"/>
              </w:rPr>
              <w:t>配制培养基吸取量</w:t>
            </w:r>
          </w:p>
          <w:p w14:paraId="797732C2">
            <w:pPr>
              <w:pStyle w:val="59"/>
              <w:ind w:firstLine="0" w:firstLineChars="0"/>
              <w:jc w:val="center"/>
              <w:rPr>
                <w:rFonts w:ascii="Times New Roman"/>
                <w:sz w:val="18"/>
                <w:szCs w:val="18"/>
              </w:rPr>
            </w:pPr>
            <w:r>
              <w:rPr>
                <w:rFonts w:ascii="Times New Roman"/>
                <w:sz w:val="18"/>
                <w:szCs w:val="18"/>
              </w:rPr>
              <w:t>ml/L</w:t>
            </w:r>
          </w:p>
        </w:tc>
      </w:tr>
      <w:tr w14:paraId="1012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14:paraId="65B8443A">
            <w:pPr>
              <w:pStyle w:val="59"/>
              <w:ind w:firstLine="0" w:firstLineChars="0"/>
              <w:jc w:val="center"/>
              <w:rPr>
                <w:rFonts w:ascii="Times New Roman"/>
                <w:sz w:val="18"/>
                <w:szCs w:val="18"/>
              </w:rPr>
            </w:pPr>
            <w:r>
              <w:rPr>
                <w:rFonts w:ascii="Times New Roman"/>
                <w:sz w:val="18"/>
                <w:szCs w:val="18"/>
              </w:rPr>
              <w:t>大量元素</w:t>
            </w:r>
          </w:p>
        </w:tc>
        <w:tc>
          <w:tcPr>
            <w:tcW w:w="1690" w:type="dxa"/>
            <w:vAlign w:val="center"/>
          </w:tcPr>
          <w:p w14:paraId="691E5A7B">
            <w:pPr>
              <w:pStyle w:val="59"/>
              <w:ind w:firstLine="0" w:firstLineChars="0"/>
              <w:jc w:val="center"/>
              <w:rPr>
                <w:rFonts w:ascii="Times New Roman"/>
                <w:sz w:val="18"/>
                <w:szCs w:val="18"/>
              </w:rPr>
            </w:pPr>
            <w:r>
              <w:rPr>
                <w:rFonts w:ascii="Times New Roman"/>
                <w:sz w:val="18"/>
                <w:szCs w:val="18"/>
              </w:rPr>
              <w:t>KNO</w:t>
            </w:r>
            <w:r>
              <w:rPr>
                <w:rFonts w:ascii="Times New Roman"/>
                <w:sz w:val="18"/>
                <w:szCs w:val="18"/>
                <w:vertAlign w:val="subscript"/>
              </w:rPr>
              <w:t>3</w:t>
            </w:r>
          </w:p>
          <w:p w14:paraId="4C8212B9">
            <w:pPr>
              <w:pStyle w:val="59"/>
              <w:ind w:firstLine="0" w:firstLineChars="0"/>
              <w:jc w:val="center"/>
              <w:rPr>
                <w:rFonts w:ascii="Times New Roman"/>
                <w:sz w:val="18"/>
                <w:szCs w:val="18"/>
              </w:rPr>
            </w:pPr>
            <w:r>
              <w:rPr>
                <w:rFonts w:ascii="Times New Roman"/>
                <w:sz w:val="18"/>
                <w:szCs w:val="18"/>
              </w:rPr>
              <w:t>NH</w:t>
            </w:r>
            <w:r>
              <w:rPr>
                <w:rFonts w:ascii="Times New Roman"/>
                <w:sz w:val="18"/>
                <w:szCs w:val="18"/>
                <w:vertAlign w:val="subscript"/>
              </w:rPr>
              <w:t>4</w:t>
            </w:r>
            <w:r>
              <w:rPr>
                <w:rFonts w:ascii="Times New Roman"/>
                <w:sz w:val="18"/>
                <w:szCs w:val="18"/>
              </w:rPr>
              <w:t>NO</w:t>
            </w:r>
            <w:r>
              <w:rPr>
                <w:rFonts w:ascii="Times New Roman"/>
                <w:sz w:val="18"/>
                <w:szCs w:val="18"/>
                <w:vertAlign w:val="subscript"/>
              </w:rPr>
              <w:t>3</w:t>
            </w:r>
          </w:p>
          <w:p w14:paraId="35152E95">
            <w:pPr>
              <w:pStyle w:val="59"/>
              <w:ind w:firstLine="0" w:firstLineChars="0"/>
              <w:jc w:val="center"/>
              <w:rPr>
                <w:rFonts w:ascii="Times New Roman"/>
                <w:sz w:val="18"/>
                <w:szCs w:val="18"/>
              </w:rPr>
            </w:pPr>
            <w:r>
              <w:rPr>
                <w:rFonts w:ascii="Times New Roman"/>
                <w:sz w:val="18"/>
                <w:szCs w:val="18"/>
              </w:rPr>
              <w:t>MgSO</w:t>
            </w:r>
            <w:r>
              <w:rPr>
                <w:rFonts w:ascii="Times New Roman"/>
                <w:sz w:val="18"/>
                <w:szCs w:val="18"/>
                <w:vertAlign w:val="subscript"/>
              </w:rPr>
              <w:t>4</w:t>
            </w:r>
            <w:r>
              <w:rPr>
                <w:rFonts w:ascii="Times New Roman"/>
                <w:sz w:val="18"/>
                <w:szCs w:val="18"/>
              </w:rPr>
              <w:t>﹒7H</w:t>
            </w:r>
            <w:r>
              <w:rPr>
                <w:rFonts w:ascii="Times New Roman"/>
                <w:sz w:val="18"/>
                <w:szCs w:val="18"/>
                <w:vertAlign w:val="subscript"/>
              </w:rPr>
              <w:t>2</w:t>
            </w:r>
            <w:r>
              <w:rPr>
                <w:rFonts w:ascii="Times New Roman"/>
                <w:sz w:val="18"/>
                <w:szCs w:val="18"/>
              </w:rPr>
              <w:t>O</w:t>
            </w:r>
          </w:p>
          <w:p w14:paraId="08A8C8C6">
            <w:pPr>
              <w:pStyle w:val="59"/>
              <w:ind w:firstLine="0" w:firstLineChars="0"/>
              <w:jc w:val="center"/>
              <w:rPr>
                <w:rFonts w:ascii="Times New Roman"/>
                <w:sz w:val="18"/>
                <w:szCs w:val="18"/>
              </w:rPr>
            </w:pPr>
            <w:r>
              <w:rPr>
                <w:rFonts w:ascii="Times New Roman"/>
                <w:sz w:val="18"/>
                <w:szCs w:val="18"/>
              </w:rPr>
              <w:t>KH</w:t>
            </w:r>
            <w:r>
              <w:rPr>
                <w:rFonts w:ascii="Times New Roman"/>
                <w:sz w:val="18"/>
                <w:szCs w:val="18"/>
                <w:vertAlign w:val="subscript"/>
              </w:rPr>
              <w:t>2</w:t>
            </w:r>
            <w:r>
              <w:rPr>
                <w:rFonts w:ascii="Times New Roman"/>
                <w:sz w:val="18"/>
                <w:szCs w:val="18"/>
              </w:rPr>
              <w:t>PO</w:t>
            </w:r>
            <w:r>
              <w:rPr>
                <w:rFonts w:ascii="Times New Roman"/>
                <w:sz w:val="18"/>
                <w:szCs w:val="18"/>
                <w:vertAlign w:val="subscript"/>
              </w:rPr>
              <w:t>4</w:t>
            </w:r>
          </w:p>
          <w:p w14:paraId="4E2B01B6">
            <w:pPr>
              <w:pStyle w:val="59"/>
              <w:ind w:firstLine="0" w:firstLineChars="0"/>
              <w:jc w:val="center"/>
              <w:rPr>
                <w:rFonts w:ascii="Times New Roman"/>
                <w:sz w:val="18"/>
                <w:szCs w:val="18"/>
              </w:rPr>
            </w:pPr>
            <w:r>
              <w:rPr>
                <w:rFonts w:ascii="Times New Roman"/>
                <w:sz w:val="18"/>
                <w:szCs w:val="18"/>
              </w:rPr>
              <w:t>CaCl</w:t>
            </w:r>
            <w:r>
              <w:rPr>
                <w:rFonts w:ascii="Times New Roman"/>
                <w:sz w:val="18"/>
                <w:szCs w:val="18"/>
                <w:vertAlign w:val="subscript"/>
              </w:rPr>
              <w:t>2</w:t>
            </w:r>
            <w:r>
              <w:rPr>
                <w:rFonts w:ascii="Times New Roman"/>
                <w:sz w:val="18"/>
                <w:szCs w:val="18"/>
              </w:rPr>
              <w:t>﹒2H</w:t>
            </w:r>
            <w:r>
              <w:rPr>
                <w:rFonts w:ascii="Times New Roman"/>
                <w:sz w:val="18"/>
                <w:szCs w:val="18"/>
                <w:vertAlign w:val="subscript"/>
              </w:rPr>
              <w:t>2</w:t>
            </w:r>
            <w:r>
              <w:rPr>
                <w:rFonts w:ascii="Times New Roman"/>
                <w:sz w:val="18"/>
                <w:szCs w:val="18"/>
              </w:rPr>
              <w:t>O</w:t>
            </w:r>
          </w:p>
        </w:tc>
        <w:tc>
          <w:tcPr>
            <w:tcW w:w="1550" w:type="dxa"/>
            <w:vAlign w:val="center"/>
          </w:tcPr>
          <w:p w14:paraId="62ED7C48">
            <w:pPr>
              <w:pStyle w:val="59"/>
              <w:ind w:firstLine="0" w:firstLineChars="0"/>
              <w:jc w:val="center"/>
              <w:rPr>
                <w:rFonts w:ascii="Times New Roman"/>
                <w:sz w:val="18"/>
                <w:szCs w:val="18"/>
              </w:rPr>
            </w:pPr>
            <w:r>
              <w:rPr>
                <w:rFonts w:ascii="Times New Roman"/>
                <w:sz w:val="18"/>
                <w:szCs w:val="18"/>
              </w:rPr>
              <w:t>1 900</w:t>
            </w:r>
          </w:p>
          <w:p w14:paraId="4BC5B5D7">
            <w:pPr>
              <w:pStyle w:val="59"/>
              <w:ind w:firstLine="0" w:firstLineChars="0"/>
              <w:jc w:val="center"/>
              <w:rPr>
                <w:rFonts w:ascii="Times New Roman"/>
                <w:sz w:val="18"/>
                <w:szCs w:val="18"/>
              </w:rPr>
            </w:pPr>
            <w:r>
              <w:rPr>
                <w:rFonts w:ascii="Times New Roman"/>
                <w:sz w:val="18"/>
                <w:szCs w:val="18"/>
              </w:rPr>
              <w:t>1 650</w:t>
            </w:r>
          </w:p>
          <w:p w14:paraId="7ADDD138">
            <w:pPr>
              <w:pStyle w:val="59"/>
              <w:ind w:firstLine="0" w:firstLineChars="0"/>
              <w:jc w:val="center"/>
              <w:rPr>
                <w:rFonts w:ascii="Times New Roman"/>
                <w:sz w:val="18"/>
                <w:szCs w:val="18"/>
              </w:rPr>
            </w:pPr>
            <w:r>
              <w:rPr>
                <w:rFonts w:ascii="Times New Roman"/>
                <w:sz w:val="18"/>
                <w:szCs w:val="18"/>
              </w:rPr>
              <w:t>370</w:t>
            </w:r>
          </w:p>
          <w:p w14:paraId="2AB04290">
            <w:pPr>
              <w:pStyle w:val="59"/>
              <w:ind w:firstLine="0" w:firstLineChars="0"/>
              <w:jc w:val="center"/>
              <w:rPr>
                <w:rFonts w:ascii="Times New Roman"/>
                <w:sz w:val="18"/>
                <w:szCs w:val="18"/>
              </w:rPr>
            </w:pPr>
            <w:r>
              <w:rPr>
                <w:rFonts w:ascii="Times New Roman"/>
                <w:sz w:val="18"/>
                <w:szCs w:val="18"/>
              </w:rPr>
              <w:t>170</w:t>
            </w:r>
          </w:p>
          <w:p w14:paraId="46F65379">
            <w:pPr>
              <w:pStyle w:val="59"/>
              <w:ind w:firstLine="0" w:firstLineChars="0"/>
              <w:jc w:val="center"/>
              <w:rPr>
                <w:rFonts w:ascii="Times New Roman"/>
                <w:sz w:val="18"/>
                <w:szCs w:val="18"/>
              </w:rPr>
            </w:pPr>
            <w:r>
              <w:rPr>
                <w:rFonts w:ascii="Times New Roman"/>
                <w:sz w:val="18"/>
                <w:szCs w:val="18"/>
              </w:rPr>
              <w:t>440</w:t>
            </w:r>
          </w:p>
        </w:tc>
        <w:tc>
          <w:tcPr>
            <w:tcW w:w="950" w:type="dxa"/>
            <w:vAlign w:val="center"/>
          </w:tcPr>
          <w:p w14:paraId="72ED1588">
            <w:pPr>
              <w:pStyle w:val="59"/>
              <w:ind w:firstLine="0" w:firstLineChars="0"/>
              <w:jc w:val="center"/>
              <w:rPr>
                <w:rFonts w:ascii="Times New Roman"/>
                <w:sz w:val="18"/>
                <w:szCs w:val="18"/>
              </w:rPr>
            </w:pPr>
            <w:r>
              <w:rPr>
                <w:rFonts w:ascii="Times New Roman"/>
                <w:sz w:val="18"/>
                <w:szCs w:val="18"/>
              </w:rPr>
              <w:t>50</w:t>
            </w:r>
          </w:p>
          <w:p w14:paraId="0C5FF4AD">
            <w:pPr>
              <w:pStyle w:val="59"/>
              <w:ind w:firstLine="0" w:firstLineChars="0"/>
              <w:jc w:val="center"/>
              <w:rPr>
                <w:rFonts w:ascii="Times New Roman"/>
                <w:sz w:val="18"/>
                <w:szCs w:val="18"/>
              </w:rPr>
            </w:pPr>
            <w:r>
              <w:rPr>
                <w:rFonts w:ascii="Times New Roman"/>
                <w:sz w:val="18"/>
                <w:szCs w:val="18"/>
              </w:rPr>
              <w:t>50</w:t>
            </w:r>
          </w:p>
          <w:p w14:paraId="583A4479">
            <w:pPr>
              <w:pStyle w:val="59"/>
              <w:ind w:firstLine="0" w:firstLineChars="0"/>
              <w:jc w:val="center"/>
              <w:rPr>
                <w:rFonts w:ascii="Times New Roman"/>
                <w:sz w:val="18"/>
                <w:szCs w:val="18"/>
              </w:rPr>
            </w:pPr>
            <w:r>
              <w:rPr>
                <w:rFonts w:ascii="Times New Roman"/>
                <w:sz w:val="18"/>
                <w:szCs w:val="18"/>
              </w:rPr>
              <w:t>50</w:t>
            </w:r>
          </w:p>
          <w:p w14:paraId="4E61B591">
            <w:pPr>
              <w:pStyle w:val="59"/>
              <w:ind w:firstLine="0" w:firstLineChars="0"/>
              <w:jc w:val="center"/>
              <w:rPr>
                <w:rFonts w:ascii="Times New Roman"/>
                <w:sz w:val="18"/>
                <w:szCs w:val="18"/>
              </w:rPr>
            </w:pPr>
            <w:r>
              <w:rPr>
                <w:rFonts w:ascii="Times New Roman"/>
                <w:sz w:val="18"/>
                <w:szCs w:val="18"/>
              </w:rPr>
              <w:t>50</w:t>
            </w:r>
          </w:p>
          <w:p w14:paraId="157F4CD3">
            <w:pPr>
              <w:pStyle w:val="59"/>
              <w:ind w:firstLine="0" w:firstLineChars="0"/>
              <w:jc w:val="center"/>
              <w:rPr>
                <w:rFonts w:ascii="Times New Roman"/>
                <w:sz w:val="18"/>
                <w:szCs w:val="18"/>
              </w:rPr>
            </w:pPr>
            <w:r>
              <w:rPr>
                <w:rFonts w:ascii="Times New Roman"/>
                <w:sz w:val="18"/>
                <w:szCs w:val="18"/>
              </w:rPr>
              <w:t>50</w:t>
            </w:r>
          </w:p>
        </w:tc>
        <w:tc>
          <w:tcPr>
            <w:tcW w:w="1130" w:type="dxa"/>
            <w:vAlign w:val="center"/>
          </w:tcPr>
          <w:p w14:paraId="4FB309A0">
            <w:pPr>
              <w:pStyle w:val="59"/>
              <w:ind w:firstLine="0" w:firstLineChars="0"/>
              <w:jc w:val="center"/>
              <w:rPr>
                <w:rFonts w:ascii="Times New Roman"/>
                <w:sz w:val="18"/>
                <w:szCs w:val="18"/>
              </w:rPr>
            </w:pPr>
            <w:r>
              <w:rPr>
                <w:rFonts w:ascii="Times New Roman"/>
                <w:sz w:val="18"/>
                <w:szCs w:val="18"/>
              </w:rPr>
              <w:t>95 000</w:t>
            </w:r>
          </w:p>
          <w:p w14:paraId="22852A33">
            <w:pPr>
              <w:pStyle w:val="59"/>
              <w:ind w:firstLine="0" w:firstLineChars="0"/>
              <w:jc w:val="center"/>
              <w:rPr>
                <w:rFonts w:ascii="Times New Roman"/>
                <w:sz w:val="18"/>
                <w:szCs w:val="18"/>
              </w:rPr>
            </w:pPr>
            <w:r>
              <w:rPr>
                <w:rFonts w:ascii="Times New Roman"/>
                <w:sz w:val="18"/>
                <w:szCs w:val="18"/>
              </w:rPr>
              <w:t>82 500</w:t>
            </w:r>
          </w:p>
          <w:p w14:paraId="69B0AFA8">
            <w:pPr>
              <w:pStyle w:val="59"/>
              <w:ind w:firstLine="0" w:firstLineChars="0"/>
              <w:jc w:val="center"/>
              <w:rPr>
                <w:rFonts w:ascii="Times New Roman"/>
                <w:sz w:val="18"/>
                <w:szCs w:val="18"/>
              </w:rPr>
            </w:pPr>
            <w:r>
              <w:rPr>
                <w:rFonts w:ascii="Times New Roman"/>
                <w:sz w:val="18"/>
                <w:szCs w:val="18"/>
              </w:rPr>
              <w:t>18 500</w:t>
            </w:r>
          </w:p>
          <w:p w14:paraId="3A4FA4A9">
            <w:pPr>
              <w:pStyle w:val="59"/>
              <w:ind w:firstLine="0" w:firstLineChars="0"/>
              <w:jc w:val="center"/>
              <w:rPr>
                <w:rFonts w:ascii="Times New Roman"/>
                <w:sz w:val="18"/>
                <w:szCs w:val="18"/>
              </w:rPr>
            </w:pPr>
            <w:r>
              <w:rPr>
                <w:rFonts w:ascii="Times New Roman"/>
                <w:sz w:val="18"/>
                <w:szCs w:val="18"/>
              </w:rPr>
              <w:t>8 500</w:t>
            </w:r>
          </w:p>
          <w:p w14:paraId="1C6CBF10">
            <w:pPr>
              <w:pStyle w:val="59"/>
              <w:ind w:firstLine="0" w:firstLineChars="0"/>
              <w:jc w:val="center"/>
              <w:rPr>
                <w:rFonts w:ascii="Times New Roman"/>
                <w:sz w:val="18"/>
                <w:szCs w:val="18"/>
              </w:rPr>
            </w:pPr>
            <w:r>
              <w:rPr>
                <w:rFonts w:ascii="Times New Roman"/>
                <w:sz w:val="18"/>
                <w:szCs w:val="18"/>
              </w:rPr>
              <w:t>22 000</w:t>
            </w:r>
          </w:p>
        </w:tc>
        <w:tc>
          <w:tcPr>
            <w:tcW w:w="1360" w:type="dxa"/>
            <w:vAlign w:val="center"/>
          </w:tcPr>
          <w:p w14:paraId="12EA9039">
            <w:pPr>
              <w:pStyle w:val="59"/>
              <w:ind w:firstLine="0" w:firstLineChars="0"/>
              <w:jc w:val="center"/>
              <w:rPr>
                <w:rFonts w:ascii="Times New Roman"/>
                <w:sz w:val="18"/>
                <w:szCs w:val="18"/>
              </w:rPr>
            </w:pPr>
            <w:r>
              <w:rPr>
                <w:rFonts w:ascii="Times New Roman"/>
                <w:sz w:val="18"/>
                <w:szCs w:val="18"/>
              </w:rPr>
              <w:t>1000</w:t>
            </w:r>
          </w:p>
        </w:tc>
        <w:tc>
          <w:tcPr>
            <w:tcW w:w="1932" w:type="dxa"/>
            <w:vAlign w:val="center"/>
          </w:tcPr>
          <w:p w14:paraId="4BAB9227">
            <w:pPr>
              <w:pStyle w:val="59"/>
              <w:ind w:firstLine="0" w:firstLineChars="0"/>
              <w:jc w:val="center"/>
              <w:rPr>
                <w:rFonts w:ascii="Times New Roman"/>
                <w:sz w:val="18"/>
                <w:szCs w:val="18"/>
              </w:rPr>
            </w:pPr>
            <w:r>
              <w:rPr>
                <w:rFonts w:ascii="Times New Roman"/>
                <w:sz w:val="18"/>
                <w:szCs w:val="18"/>
              </w:rPr>
              <w:t>20</w:t>
            </w:r>
          </w:p>
        </w:tc>
      </w:tr>
      <w:tr w14:paraId="56A9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14:paraId="3C24CEFB">
            <w:pPr>
              <w:pStyle w:val="59"/>
              <w:ind w:firstLine="0" w:firstLineChars="0"/>
              <w:jc w:val="center"/>
              <w:rPr>
                <w:rFonts w:ascii="Times New Roman"/>
                <w:sz w:val="18"/>
                <w:szCs w:val="18"/>
              </w:rPr>
            </w:pPr>
            <w:r>
              <w:rPr>
                <w:rFonts w:ascii="Times New Roman"/>
                <w:sz w:val="18"/>
                <w:szCs w:val="18"/>
              </w:rPr>
              <w:t>微量元素</w:t>
            </w:r>
          </w:p>
        </w:tc>
        <w:tc>
          <w:tcPr>
            <w:tcW w:w="1690" w:type="dxa"/>
            <w:vAlign w:val="center"/>
          </w:tcPr>
          <w:p w14:paraId="6B255543">
            <w:pPr>
              <w:pStyle w:val="59"/>
              <w:ind w:firstLine="0" w:firstLineChars="0"/>
              <w:jc w:val="center"/>
              <w:rPr>
                <w:rFonts w:ascii="Times New Roman"/>
                <w:sz w:val="18"/>
                <w:szCs w:val="18"/>
              </w:rPr>
            </w:pPr>
            <w:r>
              <w:rPr>
                <w:rFonts w:ascii="Times New Roman"/>
                <w:sz w:val="18"/>
                <w:szCs w:val="18"/>
              </w:rPr>
              <w:t>MnSO</w:t>
            </w:r>
            <w:r>
              <w:rPr>
                <w:rFonts w:ascii="Times New Roman"/>
                <w:sz w:val="18"/>
                <w:szCs w:val="18"/>
                <w:vertAlign w:val="subscript"/>
              </w:rPr>
              <w:t>4</w:t>
            </w:r>
            <w:r>
              <w:rPr>
                <w:rFonts w:ascii="Times New Roman"/>
                <w:sz w:val="18"/>
                <w:szCs w:val="18"/>
              </w:rPr>
              <w:t>﹒4H</w:t>
            </w:r>
            <w:r>
              <w:rPr>
                <w:rFonts w:ascii="Times New Roman"/>
                <w:sz w:val="18"/>
                <w:szCs w:val="18"/>
                <w:vertAlign w:val="subscript"/>
              </w:rPr>
              <w:t>2</w:t>
            </w:r>
            <w:r>
              <w:rPr>
                <w:rFonts w:ascii="Times New Roman"/>
                <w:sz w:val="18"/>
                <w:szCs w:val="18"/>
              </w:rPr>
              <w:t>O</w:t>
            </w:r>
          </w:p>
          <w:p w14:paraId="1244E2A1">
            <w:pPr>
              <w:pStyle w:val="59"/>
              <w:ind w:firstLine="0" w:firstLineChars="0"/>
              <w:jc w:val="center"/>
              <w:rPr>
                <w:rFonts w:ascii="Times New Roman"/>
                <w:sz w:val="18"/>
                <w:szCs w:val="18"/>
              </w:rPr>
            </w:pPr>
            <w:r>
              <w:rPr>
                <w:rFonts w:ascii="Times New Roman"/>
                <w:sz w:val="18"/>
                <w:szCs w:val="18"/>
              </w:rPr>
              <w:t>ZnSO</w:t>
            </w:r>
            <w:r>
              <w:rPr>
                <w:rFonts w:ascii="Times New Roman"/>
                <w:sz w:val="18"/>
                <w:szCs w:val="18"/>
                <w:vertAlign w:val="subscript"/>
              </w:rPr>
              <w:t>4</w:t>
            </w:r>
            <w:r>
              <w:rPr>
                <w:rFonts w:ascii="Times New Roman"/>
                <w:sz w:val="18"/>
                <w:szCs w:val="18"/>
              </w:rPr>
              <w:t>﹒7H</w:t>
            </w:r>
            <w:r>
              <w:rPr>
                <w:rFonts w:ascii="Times New Roman"/>
                <w:sz w:val="18"/>
                <w:szCs w:val="18"/>
                <w:vertAlign w:val="subscript"/>
              </w:rPr>
              <w:t>2</w:t>
            </w:r>
            <w:r>
              <w:rPr>
                <w:rFonts w:ascii="Times New Roman"/>
                <w:sz w:val="18"/>
                <w:szCs w:val="18"/>
              </w:rPr>
              <w:t>O</w:t>
            </w:r>
          </w:p>
          <w:p w14:paraId="77B6F48E">
            <w:pPr>
              <w:pStyle w:val="59"/>
              <w:ind w:firstLine="0" w:firstLineChars="0"/>
              <w:jc w:val="center"/>
              <w:rPr>
                <w:rFonts w:ascii="Times New Roman"/>
                <w:sz w:val="18"/>
                <w:szCs w:val="18"/>
              </w:rPr>
            </w:pPr>
            <w:r>
              <w:rPr>
                <w:rFonts w:ascii="Times New Roman"/>
                <w:sz w:val="18"/>
                <w:szCs w:val="18"/>
              </w:rPr>
              <w:t>H</w:t>
            </w:r>
            <w:r>
              <w:rPr>
                <w:rFonts w:ascii="Times New Roman"/>
                <w:sz w:val="18"/>
                <w:szCs w:val="18"/>
                <w:vertAlign w:val="subscript"/>
              </w:rPr>
              <w:t>3</w:t>
            </w:r>
            <w:r>
              <w:rPr>
                <w:rFonts w:ascii="Times New Roman"/>
                <w:sz w:val="18"/>
                <w:szCs w:val="18"/>
              </w:rPr>
              <w:t>BO</w:t>
            </w:r>
            <w:r>
              <w:rPr>
                <w:rFonts w:ascii="Times New Roman"/>
                <w:sz w:val="18"/>
                <w:szCs w:val="18"/>
                <w:vertAlign w:val="subscript"/>
              </w:rPr>
              <w:t>3</w:t>
            </w:r>
          </w:p>
          <w:p w14:paraId="40D0E306">
            <w:pPr>
              <w:pStyle w:val="59"/>
              <w:ind w:firstLine="0" w:firstLineChars="0"/>
              <w:jc w:val="center"/>
              <w:rPr>
                <w:rFonts w:ascii="Times New Roman"/>
                <w:sz w:val="18"/>
                <w:szCs w:val="18"/>
              </w:rPr>
            </w:pPr>
            <w:r>
              <w:rPr>
                <w:rFonts w:ascii="Times New Roman"/>
                <w:sz w:val="18"/>
                <w:szCs w:val="18"/>
              </w:rPr>
              <w:t>KI</w:t>
            </w:r>
          </w:p>
          <w:p w14:paraId="28A22556">
            <w:pPr>
              <w:pStyle w:val="59"/>
              <w:ind w:firstLine="0" w:firstLineChars="0"/>
              <w:jc w:val="center"/>
              <w:rPr>
                <w:rFonts w:ascii="Times New Roman"/>
                <w:sz w:val="18"/>
                <w:szCs w:val="18"/>
              </w:rPr>
            </w:pPr>
            <w:r>
              <w:rPr>
                <w:rFonts w:ascii="Times New Roman"/>
                <w:sz w:val="18"/>
                <w:szCs w:val="18"/>
              </w:rPr>
              <w:t>Na</w:t>
            </w:r>
            <w:r>
              <w:rPr>
                <w:rFonts w:ascii="Times New Roman"/>
                <w:sz w:val="18"/>
                <w:szCs w:val="18"/>
                <w:vertAlign w:val="subscript"/>
              </w:rPr>
              <w:t>2</w:t>
            </w:r>
            <w:r>
              <w:rPr>
                <w:rFonts w:ascii="Times New Roman"/>
                <w:sz w:val="18"/>
                <w:szCs w:val="18"/>
              </w:rPr>
              <w:t>MoO</w:t>
            </w:r>
            <w:r>
              <w:rPr>
                <w:rFonts w:ascii="Times New Roman"/>
                <w:sz w:val="18"/>
                <w:szCs w:val="18"/>
                <w:vertAlign w:val="subscript"/>
              </w:rPr>
              <w:t>4</w:t>
            </w:r>
            <w:r>
              <w:rPr>
                <w:rFonts w:ascii="Times New Roman"/>
                <w:sz w:val="18"/>
                <w:szCs w:val="18"/>
              </w:rPr>
              <w:t>﹒2H</w:t>
            </w:r>
            <w:r>
              <w:rPr>
                <w:rFonts w:ascii="Times New Roman"/>
                <w:sz w:val="18"/>
                <w:szCs w:val="18"/>
                <w:vertAlign w:val="subscript"/>
              </w:rPr>
              <w:t>2</w:t>
            </w:r>
            <w:r>
              <w:rPr>
                <w:rFonts w:ascii="Times New Roman"/>
                <w:sz w:val="18"/>
                <w:szCs w:val="18"/>
              </w:rPr>
              <w:t>O</w:t>
            </w:r>
          </w:p>
          <w:p w14:paraId="6F7F2B02">
            <w:pPr>
              <w:pStyle w:val="59"/>
              <w:ind w:firstLine="0" w:firstLineChars="0"/>
              <w:jc w:val="center"/>
              <w:rPr>
                <w:rFonts w:ascii="Times New Roman"/>
                <w:sz w:val="18"/>
                <w:szCs w:val="18"/>
              </w:rPr>
            </w:pPr>
            <w:r>
              <w:rPr>
                <w:rFonts w:ascii="Times New Roman"/>
                <w:sz w:val="18"/>
                <w:szCs w:val="18"/>
              </w:rPr>
              <w:t>CuSO</w:t>
            </w:r>
            <w:r>
              <w:rPr>
                <w:rFonts w:ascii="Times New Roman"/>
                <w:sz w:val="18"/>
                <w:szCs w:val="18"/>
                <w:vertAlign w:val="subscript"/>
              </w:rPr>
              <w:t>4</w:t>
            </w:r>
            <w:r>
              <w:rPr>
                <w:rFonts w:ascii="Times New Roman"/>
                <w:sz w:val="18"/>
                <w:szCs w:val="18"/>
              </w:rPr>
              <w:t>﹒5H</w:t>
            </w:r>
            <w:r>
              <w:rPr>
                <w:rFonts w:ascii="Times New Roman"/>
                <w:sz w:val="18"/>
                <w:szCs w:val="18"/>
                <w:vertAlign w:val="subscript"/>
              </w:rPr>
              <w:t>2</w:t>
            </w:r>
            <w:r>
              <w:rPr>
                <w:rFonts w:ascii="Times New Roman"/>
                <w:sz w:val="18"/>
                <w:szCs w:val="18"/>
              </w:rPr>
              <w:t>O</w:t>
            </w:r>
          </w:p>
          <w:p w14:paraId="7CA1D29A">
            <w:pPr>
              <w:pStyle w:val="59"/>
              <w:ind w:firstLine="0" w:firstLineChars="0"/>
              <w:jc w:val="center"/>
              <w:rPr>
                <w:rFonts w:ascii="Times New Roman"/>
                <w:sz w:val="18"/>
                <w:szCs w:val="18"/>
              </w:rPr>
            </w:pPr>
            <w:r>
              <w:rPr>
                <w:rFonts w:ascii="Times New Roman"/>
                <w:sz w:val="18"/>
                <w:szCs w:val="18"/>
              </w:rPr>
              <w:t>CoCl</w:t>
            </w:r>
            <w:r>
              <w:rPr>
                <w:rFonts w:ascii="Times New Roman"/>
                <w:sz w:val="18"/>
                <w:szCs w:val="18"/>
                <w:vertAlign w:val="subscript"/>
              </w:rPr>
              <w:t>2</w:t>
            </w:r>
            <w:r>
              <w:rPr>
                <w:rFonts w:ascii="Times New Roman"/>
                <w:sz w:val="18"/>
                <w:szCs w:val="18"/>
              </w:rPr>
              <w:t>﹒6H</w:t>
            </w:r>
            <w:r>
              <w:rPr>
                <w:rFonts w:ascii="Times New Roman"/>
                <w:sz w:val="18"/>
                <w:szCs w:val="18"/>
                <w:vertAlign w:val="subscript"/>
              </w:rPr>
              <w:t>2</w:t>
            </w:r>
            <w:r>
              <w:rPr>
                <w:rFonts w:ascii="Times New Roman"/>
                <w:sz w:val="18"/>
                <w:szCs w:val="18"/>
              </w:rPr>
              <w:t>O</w:t>
            </w:r>
          </w:p>
        </w:tc>
        <w:tc>
          <w:tcPr>
            <w:tcW w:w="1550" w:type="dxa"/>
            <w:vAlign w:val="center"/>
          </w:tcPr>
          <w:p w14:paraId="671946EB">
            <w:pPr>
              <w:pStyle w:val="59"/>
              <w:ind w:firstLine="0" w:firstLineChars="0"/>
              <w:jc w:val="center"/>
              <w:rPr>
                <w:rFonts w:ascii="Times New Roman"/>
                <w:sz w:val="18"/>
                <w:szCs w:val="18"/>
              </w:rPr>
            </w:pPr>
            <w:r>
              <w:rPr>
                <w:rFonts w:ascii="Times New Roman"/>
                <w:sz w:val="18"/>
                <w:szCs w:val="18"/>
              </w:rPr>
              <w:t>22.3</w:t>
            </w:r>
          </w:p>
          <w:p w14:paraId="4FC291A4">
            <w:pPr>
              <w:pStyle w:val="59"/>
              <w:ind w:firstLine="0" w:firstLineChars="0"/>
              <w:jc w:val="center"/>
              <w:rPr>
                <w:rFonts w:ascii="Times New Roman"/>
                <w:sz w:val="18"/>
                <w:szCs w:val="18"/>
              </w:rPr>
            </w:pPr>
            <w:r>
              <w:rPr>
                <w:rFonts w:ascii="Times New Roman"/>
                <w:sz w:val="18"/>
                <w:szCs w:val="18"/>
              </w:rPr>
              <w:t>8.6</w:t>
            </w:r>
          </w:p>
          <w:p w14:paraId="765A2C79">
            <w:pPr>
              <w:pStyle w:val="59"/>
              <w:ind w:firstLine="0" w:firstLineChars="0"/>
              <w:jc w:val="center"/>
              <w:rPr>
                <w:rFonts w:ascii="Times New Roman"/>
                <w:sz w:val="18"/>
                <w:szCs w:val="18"/>
              </w:rPr>
            </w:pPr>
            <w:r>
              <w:rPr>
                <w:rFonts w:ascii="Times New Roman"/>
                <w:sz w:val="18"/>
                <w:szCs w:val="18"/>
              </w:rPr>
              <w:t>6.2</w:t>
            </w:r>
          </w:p>
          <w:p w14:paraId="7C690D5F">
            <w:pPr>
              <w:pStyle w:val="59"/>
              <w:ind w:firstLine="0" w:firstLineChars="0"/>
              <w:jc w:val="center"/>
              <w:rPr>
                <w:rFonts w:ascii="Times New Roman"/>
                <w:sz w:val="18"/>
                <w:szCs w:val="18"/>
              </w:rPr>
            </w:pPr>
            <w:r>
              <w:rPr>
                <w:rFonts w:ascii="Times New Roman"/>
                <w:sz w:val="18"/>
                <w:szCs w:val="18"/>
              </w:rPr>
              <w:t>0.83</w:t>
            </w:r>
          </w:p>
          <w:p w14:paraId="6532F99C">
            <w:pPr>
              <w:pStyle w:val="59"/>
              <w:ind w:firstLine="0" w:firstLineChars="0"/>
              <w:jc w:val="center"/>
              <w:rPr>
                <w:rFonts w:ascii="Times New Roman"/>
                <w:sz w:val="18"/>
                <w:szCs w:val="18"/>
              </w:rPr>
            </w:pPr>
            <w:r>
              <w:rPr>
                <w:rFonts w:ascii="Times New Roman"/>
                <w:sz w:val="18"/>
                <w:szCs w:val="18"/>
              </w:rPr>
              <w:t>0.25</w:t>
            </w:r>
          </w:p>
          <w:p w14:paraId="6F9EB880">
            <w:pPr>
              <w:pStyle w:val="59"/>
              <w:ind w:firstLine="0" w:firstLineChars="0"/>
              <w:jc w:val="center"/>
              <w:rPr>
                <w:rFonts w:ascii="Times New Roman"/>
                <w:sz w:val="18"/>
                <w:szCs w:val="18"/>
              </w:rPr>
            </w:pPr>
            <w:r>
              <w:rPr>
                <w:rFonts w:ascii="Times New Roman"/>
                <w:sz w:val="18"/>
                <w:szCs w:val="18"/>
              </w:rPr>
              <w:t>0.025</w:t>
            </w:r>
          </w:p>
          <w:p w14:paraId="3718F6BE">
            <w:pPr>
              <w:pStyle w:val="59"/>
              <w:ind w:firstLine="0" w:firstLineChars="0"/>
              <w:jc w:val="center"/>
              <w:rPr>
                <w:rFonts w:ascii="Times New Roman"/>
                <w:sz w:val="18"/>
                <w:szCs w:val="18"/>
              </w:rPr>
            </w:pPr>
            <w:r>
              <w:rPr>
                <w:rFonts w:ascii="Times New Roman"/>
                <w:sz w:val="18"/>
                <w:szCs w:val="18"/>
              </w:rPr>
              <w:t>0.025</w:t>
            </w:r>
          </w:p>
        </w:tc>
        <w:tc>
          <w:tcPr>
            <w:tcW w:w="950" w:type="dxa"/>
            <w:vAlign w:val="center"/>
          </w:tcPr>
          <w:p w14:paraId="53BEB4C2">
            <w:pPr>
              <w:pStyle w:val="59"/>
              <w:ind w:firstLine="0" w:firstLineChars="0"/>
              <w:jc w:val="center"/>
              <w:rPr>
                <w:rFonts w:ascii="Times New Roman"/>
                <w:sz w:val="18"/>
                <w:szCs w:val="18"/>
              </w:rPr>
            </w:pPr>
            <w:r>
              <w:rPr>
                <w:rFonts w:ascii="Times New Roman"/>
                <w:sz w:val="18"/>
                <w:szCs w:val="18"/>
              </w:rPr>
              <w:t>100</w:t>
            </w:r>
          </w:p>
          <w:p w14:paraId="5629593B">
            <w:pPr>
              <w:pStyle w:val="59"/>
              <w:ind w:firstLine="0" w:firstLineChars="0"/>
              <w:jc w:val="center"/>
              <w:rPr>
                <w:rFonts w:ascii="Times New Roman"/>
                <w:sz w:val="18"/>
                <w:szCs w:val="18"/>
              </w:rPr>
            </w:pPr>
            <w:r>
              <w:rPr>
                <w:rFonts w:ascii="Times New Roman"/>
                <w:sz w:val="18"/>
                <w:szCs w:val="18"/>
              </w:rPr>
              <w:t>100</w:t>
            </w:r>
          </w:p>
          <w:p w14:paraId="0B5115B6">
            <w:pPr>
              <w:pStyle w:val="59"/>
              <w:ind w:firstLine="0" w:firstLineChars="0"/>
              <w:jc w:val="center"/>
              <w:rPr>
                <w:rFonts w:ascii="Times New Roman"/>
                <w:sz w:val="18"/>
                <w:szCs w:val="18"/>
              </w:rPr>
            </w:pPr>
            <w:r>
              <w:rPr>
                <w:rFonts w:ascii="Times New Roman"/>
                <w:sz w:val="18"/>
                <w:szCs w:val="18"/>
              </w:rPr>
              <w:t>100</w:t>
            </w:r>
          </w:p>
          <w:p w14:paraId="40BAA276">
            <w:pPr>
              <w:pStyle w:val="59"/>
              <w:ind w:firstLine="0" w:firstLineChars="0"/>
              <w:jc w:val="center"/>
              <w:rPr>
                <w:rFonts w:ascii="Times New Roman"/>
                <w:sz w:val="18"/>
                <w:szCs w:val="18"/>
              </w:rPr>
            </w:pPr>
            <w:r>
              <w:rPr>
                <w:rFonts w:ascii="Times New Roman"/>
                <w:sz w:val="18"/>
                <w:szCs w:val="18"/>
              </w:rPr>
              <w:t>100</w:t>
            </w:r>
          </w:p>
          <w:p w14:paraId="52F75D4F">
            <w:pPr>
              <w:pStyle w:val="59"/>
              <w:ind w:firstLine="0" w:firstLineChars="0"/>
              <w:jc w:val="center"/>
              <w:rPr>
                <w:rFonts w:ascii="Times New Roman"/>
                <w:sz w:val="18"/>
                <w:szCs w:val="18"/>
              </w:rPr>
            </w:pPr>
            <w:r>
              <w:rPr>
                <w:rFonts w:ascii="Times New Roman"/>
                <w:sz w:val="18"/>
                <w:szCs w:val="18"/>
              </w:rPr>
              <w:t>100</w:t>
            </w:r>
          </w:p>
          <w:p w14:paraId="76C394BC">
            <w:pPr>
              <w:pStyle w:val="59"/>
              <w:ind w:firstLine="0" w:firstLineChars="0"/>
              <w:jc w:val="center"/>
              <w:rPr>
                <w:rFonts w:ascii="Times New Roman"/>
                <w:sz w:val="18"/>
                <w:szCs w:val="18"/>
              </w:rPr>
            </w:pPr>
            <w:r>
              <w:rPr>
                <w:rFonts w:ascii="Times New Roman"/>
                <w:sz w:val="18"/>
                <w:szCs w:val="18"/>
              </w:rPr>
              <w:t>100</w:t>
            </w:r>
          </w:p>
          <w:p w14:paraId="482DE5DC">
            <w:pPr>
              <w:pStyle w:val="59"/>
              <w:ind w:firstLine="0" w:firstLineChars="0"/>
              <w:jc w:val="center"/>
              <w:rPr>
                <w:rFonts w:ascii="Times New Roman"/>
                <w:sz w:val="18"/>
                <w:szCs w:val="18"/>
              </w:rPr>
            </w:pPr>
            <w:r>
              <w:rPr>
                <w:rFonts w:ascii="Times New Roman"/>
                <w:sz w:val="18"/>
                <w:szCs w:val="18"/>
              </w:rPr>
              <w:t>100</w:t>
            </w:r>
          </w:p>
        </w:tc>
        <w:tc>
          <w:tcPr>
            <w:tcW w:w="1130" w:type="dxa"/>
            <w:vAlign w:val="center"/>
          </w:tcPr>
          <w:p w14:paraId="23D8029D">
            <w:pPr>
              <w:pStyle w:val="59"/>
              <w:ind w:firstLine="0" w:firstLineChars="0"/>
              <w:jc w:val="center"/>
              <w:rPr>
                <w:rFonts w:ascii="Times New Roman"/>
                <w:sz w:val="18"/>
                <w:szCs w:val="18"/>
              </w:rPr>
            </w:pPr>
            <w:r>
              <w:rPr>
                <w:rFonts w:ascii="Times New Roman"/>
                <w:sz w:val="18"/>
                <w:szCs w:val="18"/>
              </w:rPr>
              <w:t>2 230</w:t>
            </w:r>
          </w:p>
          <w:p w14:paraId="30E904C6">
            <w:pPr>
              <w:pStyle w:val="59"/>
              <w:ind w:firstLine="0" w:firstLineChars="0"/>
              <w:jc w:val="center"/>
              <w:rPr>
                <w:rFonts w:ascii="Times New Roman"/>
                <w:sz w:val="18"/>
                <w:szCs w:val="18"/>
              </w:rPr>
            </w:pPr>
            <w:r>
              <w:rPr>
                <w:rFonts w:ascii="Times New Roman"/>
                <w:sz w:val="18"/>
                <w:szCs w:val="18"/>
              </w:rPr>
              <w:t>860</w:t>
            </w:r>
          </w:p>
          <w:p w14:paraId="7668DB32">
            <w:pPr>
              <w:pStyle w:val="59"/>
              <w:ind w:firstLine="0" w:firstLineChars="0"/>
              <w:jc w:val="center"/>
              <w:rPr>
                <w:rFonts w:ascii="Times New Roman"/>
                <w:sz w:val="18"/>
                <w:szCs w:val="18"/>
              </w:rPr>
            </w:pPr>
            <w:r>
              <w:rPr>
                <w:rFonts w:ascii="Times New Roman"/>
                <w:sz w:val="18"/>
                <w:szCs w:val="18"/>
              </w:rPr>
              <w:t>620</w:t>
            </w:r>
          </w:p>
          <w:p w14:paraId="2FAE0101">
            <w:pPr>
              <w:pStyle w:val="59"/>
              <w:ind w:firstLine="0" w:firstLineChars="0"/>
              <w:jc w:val="center"/>
              <w:rPr>
                <w:rFonts w:ascii="Times New Roman"/>
                <w:sz w:val="18"/>
                <w:szCs w:val="18"/>
              </w:rPr>
            </w:pPr>
            <w:r>
              <w:rPr>
                <w:rFonts w:ascii="Times New Roman"/>
                <w:sz w:val="18"/>
                <w:szCs w:val="18"/>
              </w:rPr>
              <w:t>83</w:t>
            </w:r>
          </w:p>
          <w:p w14:paraId="4169564F">
            <w:pPr>
              <w:pStyle w:val="59"/>
              <w:ind w:firstLine="0" w:firstLineChars="0"/>
              <w:jc w:val="center"/>
              <w:rPr>
                <w:rFonts w:ascii="Times New Roman"/>
                <w:sz w:val="18"/>
                <w:szCs w:val="18"/>
              </w:rPr>
            </w:pPr>
            <w:r>
              <w:rPr>
                <w:rFonts w:ascii="Times New Roman"/>
                <w:sz w:val="18"/>
                <w:szCs w:val="18"/>
              </w:rPr>
              <w:t>25</w:t>
            </w:r>
          </w:p>
          <w:p w14:paraId="0120F177">
            <w:pPr>
              <w:pStyle w:val="59"/>
              <w:ind w:firstLine="0" w:firstLineChars="0"/>
              <w:jc w:val="center"/>
              <w:rPr>
                <w:rFonts w:ascii="Times New Roman"/>
                <w:sz w:val="18"/>
                <w:szCs w:val="18"/>
              </w:rPr>
            </w:pPr>
            <w:r>
              <w:rPr>
                <w:rFonts w:ascii="Times New Roman"/>
                <w:sz w:val="18"/>
                <w:szCs w:val="18"/>
              </w:rPr>
              <w:t>2.5</w:t>
            </w:r>
          </w:p>
          <w:p w14:paraId="67DC10C2">
            <w:pPr>
              <w:pStyle w:val="59"/>
              <w:ind w:firstLine="0" w:firstLineChars="0"/>
              <w:jc w:val="center"/>
              <w:rPr>
                <w:rFonts w:ascii="Times New Roman"/>
                <w:sz w:val="18"/>
                <w:szCs w:val="18"/>
              </w:rPr>
            </w:pPr>
            <w:r>
              <w:rPr>
                <w:rFonts w:ascii="Times New Roman"/>
                <w:sz w:val="18"/>
                <w:szCs w:val="18"/>
              </w:rPr>
              <w:t>2.5</w:t>
            </w:r>
          </w:p>
        </w:tc>
        <w:tc>
          <w:tcPr>
            <w:tcW w:w="1360" w:type="dxa"/>
            <w:vAlign w:val="center"/>
          </w:tcPr>
          <w:p w14:paraId="007BDAF7">
            <w:pPr>
              <w:pStyle w:val="59"/>
              <w:ind w:firstLine="0" w:firstLineChars="0"/>
              <w:jc w:val="center"/>
              <w:rPr>
                <w:rFonts w:ascii="Times New Roman"/>
                <w:sz w:val="18"/>
                <w:szCs w:val="18"/>
              </w:rPr>
            </w:pPr>
            <w:r>
              <w:rPr>
                <w:rFonts w:ascii="Times New Roman"/>
                <w:sz w:val="18"/>
                <w:szCs w:val="18"/>
              </w:rPr>
              <w:t>1000</w:t>
            </w:r>
          </w:p>
        </w:tc>
        <w:tc>
          <w:tcPr>
            <w:tcW w:w="1932" w:type="dxa"/>
            <w:vAlign w:val="center"/>
          </w:tcPr>
          <w:p w14:paraId="2A8BF7AB">
            <w:pPr>
              <w:pStyle w:val="59"/>
              <w:ind w:firstLine="0" w:firstLineChars="0"/>
              <w:jc w:val="center"/>
              <w:rPr>
                <w:rFonts w:ascii="Times New Roman"/>
                <w:sz w:val="18"/>
                <w:szCs w:val="18"/>
              </w:rPr>
            </w:pPr>
            <w:r>
              <w:rPr>
                <w:rFonts w:ascii="Times New Roman"/>
                <w:sz w:val="18"/>
                <w:szCs w:val="18"/>
              </w:rPr>
              <w:t>10</w:t>
            </w:r>
          </w:p>
        </w:tc>
      </w:tr>
      <w:tr w14:paraId="2157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14:paraId="337BA8E3">
            <w:pPr>
              <w:pStyle w:val="59"/>
              <w:ind w:firstLine="0" w:firstLineChars="0"/>
              <w:jc w:val="center"/>
              <w:rPr>
                <w:rFonts w:ascii="Times New Roman"/>
                <w:sz w:val="18"/>
                <w:szCs w:val="18"/>
              </w:rPr>
            </w:pPr>
            <w:r>
              <w:rPr>
                <w:rFonts w:ascii="Times New Roman"/>
                <w:sz w:val="18"/>
                <w:szCs w:val="18"/>
              </w:rPr>
              <w:t>铁盐</w:t>
            </w:r>
          </w:p>
        </w:tc>
        <w:tc>
          <w:tcPr>
            <w:tcW w:w="1690" w:type="dxa"/>
            <w:vAlign w:val="center"/>
          </w:tcPr>
          <w:p w14:paraId="2A0AE4E2">
            <w:pPr>
              <w:pStyle w:val="59"/>
              <w:ind w:firstLine="0" w:firstLineChars="0"/>
              <w:jc w:val="center"/>
              <w:rPr>
                <w:rFonts w:ascii="Times New Roman"/>
                <w:sz w:val="18"/>
                <w:szCs w:val="18"/>
              </w:rPr>
            </w:pPr>
            <w:r>
              <w:rPr>
                <w:rFonts w:ascii="Times New Roman"/>
                <w:sz w:val="18"/>
                <w:szCs w:val="18"/>
              </w:rPr>
              <w:t>Na</w:t>
            </w:r>
            <w:r>
              <w:rPr>
                <w:rFonts w:ascii="Times New Roman"/>
                <w:sz w:val="18"/>
                <w:szCs w:val="18"/>
                <w:vertAlign w:val="subscript"/>
              </w:rPr>
              <w:t>2</w:t>
            </w:r>
            <w:r>
              <w:rPr>
                <w:rFonts w:ascii="Times New Roman"/>
                <w:sz w:val="18"/>
                <w:szCs w:val="18"/>
              </w:rPr>
              <w:t>-EDTA</w:t>
            </w:r>
          </w:p>
          <w:p w14:paraId="7EFB7276">
            <w:pPr>
              <w:pStyle w:val="59"/>
              <w:ind w:firstLine="0" w:firstLineChars="0"/>
              <w:jc w:val="center"/>
              <w:rPr>
                <w:rFonts w:ascii="Times New Roman"/>
                <w:sz w:val="18"/>
                <w:szCs w:val="18"/>
              </w:rPr>
            </w:pPr>
            <w:r>
              <w:rPr>
                <w:rFonts w:ascii="Times New Roman"/>
                <w:sz w:val="18"/>
                <w:szCs w:val="18"/>
              </w:rPr>
              <w:t>FeSO</w:t>
            </w:r>
            <w:r>
              <w:rPr>
                <w:rFonts w:ascii="Times New Roman"/>
                <w:sz w:val="18"/>
                <w:szCs w:val="18"/>
                <w:vertAlign w:val="subscript"/>
              </w:rPr>
              <w:t>4</w:t>
            </w:r>
            <w:r>
              <w:rPr>
                <w:rFonts w:ascii="Times New Roman"/>
                <w:sz w:val="18"/>
                <w:szCs w:val="18"/>
              </w:rPr>
              <w:t>﹒7H</w:t>
            </w:r>
            <w:r>
              <w:rPr>
                <w:rFonts w:ascii="Times New Roman"/>
                <w:sz w:val="18"/>
                <w:szCs w:val="18"/>
                <w:vertAlign w:val="subscript"/>
              </w:rPr>
              <w:t>2</w:t>
            </w:r>
            <w:r>
              <w:rPr>
                <w:rFonts w:ascii="Times New Roman"/>
                <w:sz w:val="18"/>
                <w:szCs w:val="18"/>
              </w:rPr>
              <w:t>O</w:t>
            </w:r>
          </w:p>
        </w:tc>
        <w:tc>
          <w:tcPr>
            <w:tcW w:w="1550" w:type="dxa"/>
            <w:vAlign w:val="center"/>
          </w:tcPr>
          <w:p w14:paraId="0F631A32">
            <w:pPr>
              <w:pStyle w:val="59"/>
              <w:ind w:firstLine="0" w:firstLineChars="0"/>
              <w:jc w:val="center"/>
              <w:rPr>
                <w:rFonts w:ascii="Times New Roman"/>
                <w:sz w:val="18"/>
                <w:szCs w:val="18"/>
              </w:rPr>
            </w:pPr>
            <w:r>
              <w:rPr>
                <w:rFonts w:ascii="Times New Roman"/>
                <w:sz w:val="18"/>
                <w:szCs w:val="18"/>
              </w:rPr>
              <w:t>37.3</w:t>
            </w:r>
          </w:p>
          <w:p w14:paraId="67F0B76B">
            <w:pPr>
              <w:pStyle w:val="59"/>
              <w:ind w:firstLine="0" w:firstLineChars="0"/>
              <w:jc w:val="center"/>
              <w:rPr>
                <w:rFonts w:ascii="Times New Roman"/>
                <w:sz w:val="18"/>
                <w:szCs w:val="18"/>
              </w:rPr>
            </w:pPr>
            <w:r>
              <w:rPr>
                <w:rFonts w:ascii="Times New Roman"/>
                <w:sz w:val="18"/>
                <w:szCs w:val="18"/>
              </w:rPr>
              <w:t>27.8</w:t>
            </w:r>
          </w:p>
        </w:tc>
        <w:tc>
          <w:tcPr>
            <w:tcW w:w="950" w:type="dxa"/>
            <w:vAlign w:val="center"/>
          </w:tcPr>
          <w:p w14:paraId="18B97A1C">
            <w:pPr>
              <w:pStyle w:val="59"/>
              <w:ind w:firstLine="0" w:firstLineChars="0"/>
              <w:jc w:val="center"/>
              <w:rPr>
                <w:rFonts w:ascii="Times New Roman"/>
                <w:sz w:val="18"/>
                <w:szCs w:val="18"/>
              </w:rPr>
            </w:pPr>
            <w:r>
              <w:rPr>
                <w:rFonts w:ascii="Times New Roman"/>
                <w:sz w:val="18"/>
                <w:szCs w:val="18"/>
              </w:rPr>
              <w:t>100</w:t>
            </w:r>
          </w:p>
          <w:p w14:paraId="1E8E4FC7">
            <w:pPr>
              <w:pStyle w:val="59"/>
              <w:ind w:firstLine="0" w:firstLineChars="0"/>
              <w:jc w:val="center"/>
              <w:rPr>
                <w:rFonts w:ascii="Times New Roman"/>
                <w:sz w:val="18"/>
                <w:szCs w:val="18"/>
              </w:rPr>
            </w:pPr>
            <w:r>
              <w:rPr>
                <w:rFonts w:ascii="Times New Roman"/>
                <w:sz w:val="18"/>
                <w:szCs w:val="18"/>
              </w:rPr>
              <w:t>100</w:t>
            </w:r>
          </w:p>
        </w:tc>
        <w:tc>
          <w:tcPr>
            <w:tcW w:w="1130" w:type="dxa"/>
            <w:vAlign w:val="center"/>
          </w:tcPr>
          <w:p w14:paraId="54974355">
            <w:pPr>
              <w:pStyle w:val="59"/>
              <w:ind w:firstLine="0" w:firstLineChars="0"/>
              <w:jc w:val="center"/>
              <w:rPr>
                <w:rFonts w:ascii="Times New Roman"/>
                <w:sz w:val="18"/>
                <w:szCs w:val="18"/>
              </w:rPr>
            </w:pPr>
            <w:r>
              <w:rPr>
                <w:rFonts w:ascii="Times New Roman"/>
                <w:sz w:val="18"/>
                <w:szCs w:val="18"/>
              </w:rPr>
              <w:t>3 730</w:t>
            </w:r>
          </w:p>
          <w:p w14:paraId="49FEFD01">
            <w:pPr>
              <w:pStyle w:val="59"/>
              <w:ind w:firstLine="0" w:firstLineChars="0"/>
              <w:jc w:val="center"/>
              <w:rPr>
                <w:rFonts w:ascii="Times New Roman"/>
                <w:sz w:val="18"/>
                <w:szCs w:val="18"/>
              </w:rPr>
            </w:pPr>
            <w:r>
              <w:rPr>
                <w:rFonts w:ascii="Times New Roman"/>
                <w:sz w:val="18"/>
                <w:szCs w:val="18"/>
              </w:rPr>
              <w:t>2 780</w:t>
            </w:r>
          </w:p>
        </w:tc>
        <w:tc>
          <w:tcPr>
            <w:tcW w:w="1360" w:type="dxa"/>
            <w:vAlign w:val="center"/>
          </w:tcPr>
          <w:p w14:paraId="563CE322">
            <w:pPr>
              <w:pStyle w:val="59"/>
              <w:ind w:firstLine="0" w:firstLineChars="0"/>
              <w:jc w:val="center"/>
              <w:rPr>
                <w:rFonts w:ascii="Times New Roman"/>
                <w:sz w:val="18"/>
                <w:szCs w:val="18"/>
              </w:rPr>
            </w:pPr>
            <w:r>
              <w:rPr>
                <w:rFonts w:ascii="Times New Roman"/>
                <w:sz w:val="18"/>
                <w:szCs w:val="18"/>
              </w:rPr>
              <w:t>1000</w:t>
            </w:r>
          </w:p>
        </w:tc>
        <w:tc>
          <w:tcPr>
            <w:tcW w:w="1932" w:type="dxa"/>
            <w:vAlign w:val="center"/>
          </w:tcPr>
          <w:p w14:paraId="78E26C09">
            <w:pPr>
              <w:pStyle w:val="59"/>
              <w:ind w:firstLine="0" w:firstLineChars="0"/>
              <w:jc w:val="center"/>
              <w:rPr>
                <w:rFonts w:ascii="Times New Roman"/>
                <w:sz w:val="18"/>
                <w:szCs w:val="18"/>
              </w:rPr>
            </w:pPr>
            <w:r>
              <w:rPr>
                <w:rFonts w:ascii="Times New Roman"/>
                <w:sz w:val="18"/>
                <w:szCs w:val="18"/>
              </w:rPr>
              <w:t>10</w:t>
            </w:r>
          </w:p>
        </w:tc>
      </w:tr>
      <w:tr w14:paraId="52AB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Align w:val="center"/>
          </w:tcPr>
          <w:p w14:paraId="36450931">
            <w:pPr>
              <w:pStyle w:val="59"/>
              <w:ind w:firstLine="0" w:firstLineChars="0"/>
              <w:jc w:val="center"/>
              <w:rPr>
                <w:rFonts w:ascii="Times New Roman"/>
                <w:sz w:val="18"/>
                <w:szCs w:val="18"/>
              </w:rPr>
            </w:pPr>
            <w:r>
              <w:rPr>
                <w:rFonts w:ascii="Times New Roman"/>
                <w:sz w:val="18"/>
                <w:szCs w:val="18"/>
              </w:rPr>
              <w:t>有机物质</w:t>
            </w:r>
          </w:p>
        </w:tc>
        <w:tc>
          <w:tcPr>
            <w:tcW w:w="1690" w:type="dxa"/>
            <w:vAlign w:val="center"/>
          </w:tcPr>
          <w:p w14:paraId="117E7944">
            <w:pPr>
              <w:pStyle w:val="59"/>
              <w:ind w:firstLine="0" w:firstLineChars="0"/>
              <w:jc w:val="center"/>
              <w:rPr>
                <w:rFonts w:ascii="Times New Roman"/>
                <w:sz w:val="18"/>
                <w:szCs w:val="18"/>
              </w:rPr>
            </w:pPr>
            <w:r>
              <w:rPr>
                <w:rFonts w:ascii="Times New Roman"/>
                <w:sz w:val="18"/>
                <w:szCs w:val="18"/>
              </w:rPr>
              <w:t>甘氨酸</w:t>
            </w:r>
          </w:p>
          <w:p w14:paraId="3BFEDEB9">
            <w:pPr>
              <w:pStyle w:val="59"/>
              <w:ind w:firstLine="0" w:firstLineChars="0"/>
              <w:jc w:val="center"/>
              <w:rPr>
                <w:rFonts w:ascii="Times New Roman"/>
                <w:sz w:val="18"/>
                <w:szCs w:val="18"/>
                <w:vertAlign w:val="subscript"/>
              </w:rPr>
            </w:pPr>
            <w:r>
              <w:rPr>
                <w:rFonts w:ascii="Times New Roman"/>
                <w:sz w:val="18"/>
                <w:szCs w:val="18"/>
              </w:rPr>
              <w:t>维生素B</w:t>
            </w:r>
            <w:r>
              <w:rPr>
                <w:rFonts w:ascii="Times New Roman"/>
                <w:sz w:val="18"/>
                <w:szCs w:val="18"/>
                <w:vertAlign w:val="subscript"/>
              </w:rPr>
              <w:t>1</w:t>
            </w:r>
          </w:p>
          <w:p w14:paraId="3BB341D0">
            <w:pPr>
              <w:pStyle w:val="59"/>
              <w:ind w:firstLine="0" w:firstLineChars="0"/>
              <w:jc w:val="center"/>
              <w:rPr>
                <w:rFonts w:ascii="Times New Roman"/>
                <w:sz w:val="18"/>
                <w:szCs w:val="18"/>
              </w:rPr>
            </w:pPr>
            <w:r>
              <w:rPr>
                <w:rFonts w:ascii="Times New Roman"/>
                <w:sz w:val="18"/>
                <w:szCs w:val="18"/>
              </w:rPr>
              <w:t>维生素B</w:t>
            </w:r>
            <w:r>
              <w:rPr>
                <w:rFonts w:ascii="Times New Roman"/>
                <w:sz w:val="18"/>
                <w:szCs w:val="18"/>
                <w:vertAlign w:val="subscript"/>
              </w:rPr>
              <w:t>6</w:t>
            </w:r>
          </w:p>
          <w:p w14:paraId="66F0A3E6">
            <w:pPr>
              <w:pStyle w:val="59"/>
              <w:ind w:firstLine="0" w:firstLineChars="0"/>
              <w:jc w:val="center"/>
              <w:rPr>
                <w:rFonts w:ascii="Times New Roman"/>
                <w:sz w:val="18"/>
                <w:szCs w:val="18"/>
              </w:rPr>
            </w:pPr>
            <w:r>
              <w:rPr>
                <w:rFonts w:ascii="Times New Roman"/>
                <w:sz w:val="18"/>
                <w:szCs w:val="18"/>
              </w:rPr>
              <w:t>烟酸</w:t>
            </w:r>
          </w:p>
          <w:p w14:paraId="38CC9881">
            <w:pPr>
              <w:pStyle w:val="59"/>
              <w:ind w:firstLine="0" w:firstLineChars="0"/>
              <w:jc w:val="center"/>
              <w:rPr>
                <w:rFonts w:ascii="Times New Roman"/>
                <w:sz w:val="18"/>
                <w:szCs w:val="18"/>
              </w:rPr>
            </w:pPr>
            <w:r>
              <w:rPr>
                <w:rFonts w:ascii="Times New Roman"/>
                <w:sz w:val="18"/>
                <w:szCs w:val="18"/>
              </w:rPr>
              <w:t>肌醇</w:t>
            </w:r>
          </w:p>
        </w:tc>
        <w:tc>
          <w:tcPr>
            <w:tcW w:w="1550" w:type="dxa"/>
            <w:vAlign w:val="center"/>
          </w:tcPr>
          <w:p w14:paraId="1C036090">
            <w:pPr>
              <w:pStyle w:val="59"/>
              <w:ind w:firstLine="0" w:firstLineChars="0"/>
              <w:jc w:val="center"/>
              <w:rPr>
                <w:rFonts w:ascii="Times New Roman"/>
                <w:sz w:val="18"/>
                <w:szCs w:val="18"/>
              </w:rPr>
            </w:pPr>
            <w:r>
              <w:rPr>
                <w:rFonts w:ascii="Times New Roman"/>
                <w:sz w:val="18"/>
                <w:szCs w:val="18"/>
              </w:rPr>
              <w:t>2.0</w:t>
            </w:r>
          </w:p>
          <w:p w14:paraId="489C23AB">
            <w:pPr>
              <w:pStyle w:val="59"/>
              <w:ind w:firstLine="0" w:firstLineChars="0"/>
              <w:jc w:val="center"/>
              <w:rPr>
                <w:rFonts w:ascii="Times New Roman"/>
                <w:sz w:val="18"/>
                <w:szCs w:val="18"/>
              </w:rPr>
            </w:pPr>
            <w:r>
              <w:rPr>
                <w:rFonts w:ascii="Times New Roman"/>
                <w:sz w:val="18"/>
                <w:szCs w:val="18"/>
              </w:rPr>
              <w:t>0.4</w:t>
            </w:r>
          </w:p>
          <w:p w14:paraId="2911292B">
            <w:pPr>
              <w:pStyle w:val="59"/>
              <w:ind w:firstLine="0" w:firstLineChars="0"/>
              <w:jc w:val="center"/>
              <w:rPr>
                <w:rFonts w:ascii="Times New Roman"/>
                <w:sz w:val="18"/>
                <w:szCs w:val="18"/>
              </w:rPr>
            </w:pPr>
            <w:r>
              <w:rPr>
                <w:rFonts w:ascii="Times New Roman"/>
                <w:sz w:val="18"/>
                <w:szCs w:val="18"/>
              </w:rPr>
              <w:t>0.5</w:t>
            </w:r>
          </w:p>
          <w:p w14:paraId="12652C7E">
            <w:pPr>
              <w:pStyle w:val="59"/>
              <w:ind w:firstLine="0" w:firstLineChars="0"/>
              <w:jc w:val="center"/>
              <w:rPr>
                <w:rFonts w:ascii="Times New Roman"/>
                <w:sz w:val="18"/>
                <w:szCs w:val="18"/>
              </w:rPr>
            </w:pPr>
            <w:r>
              <w:rPr>
                <w:rFonts w:ascii="Times New Roman"/>
                <w:sz w:val="18"/>
                <w:szCs w:val="18"/>
              </w:rPr>
              <w:t>0.5</w:t>
            </w:r>
          </w:p>
          <w:p w14:paraId="4E689765">
            <w:pPr>
              <w:pStyle w:val="59"/>
              <w:ind w:firstLine="0" w:firstLineChars="0"/>
              <w:jc w:val="center"/>
              <w:rPr>
                <w:rFonts w:ascii="Times New Roman"/>
                <w:sz w:val="18"/>
                <w:szCs w:val="18"/>
              </w:rPr>
            </w:pPr>
            <w:r>
              <w:rPr>
                <w:rFonts w:ascii="Times New Roman"/>
                <w:sz w:val="18"/>
                <w:szCs w:val="18"/>
              </w:rPr>
              <w:t>100</w:t>
            </w:r>
          </w:p>
        </w:tc>
        <w:tc>
          <w:tcPr>
            <w:tcW w:w="950" w:type="dxa"/>
            <w:vAlign w:val="center"/>
          </w:tcPr>
          <w:p w14:paraId="1D84CB52">
            <w:pPr>
              <w:pStyle w:val="59"/>
              <w:ind w:firstLine="0" w:firstLineChars="0"/>
              <w:jc w:val="center"/>
              <w:rPr>
                <w:rFonts w:ascii="Times New Roman"/>
                <w:sz w:val="18"/>
                <w:szCs w:val="18"/>
              </w:rPr>
            </w:pPr>
            <w:r>
              <w:rPr>
                <w:rFonts w:ascii="Times New Roman"/>
                <w:sz w:val="18"/>
                <w:szCs w:val="18"/>
              </w:rPr>
              <w:t>50</w:t>
            </w:r>
          </w:p>
          <w:p w14:paraId="0A78C329">
            <w:pPr>
              <w:pStyle w:val="59"/>
              <w:ind w:firstLine="0" w:firstLineChars="0"/>
              <w:jc w:val="center"/>
              <w:rPr>
                <w:rFonts w:ascii="Times New Roman"/>
                <w:sz w:val="18"/>
                <w:szCs w:val="18"/>
              </w:rPr>
            </w:pPr>
            <w:r>
              <w:rPr>
                <w:rFonts w:ascii="Times New Roman"/>
                <w:sz w:val="18"/>
                <w:szCs w:val="18"/>
              </w:rPr>
              <w:t>50</w:t>
            </w:r>
          </w:p>
          <w:p w14:paraId="55E3C27A">
            <w:pPr>
              <w:pStyle w:val="59"/>
              <w:ind w:firstLine="0" w:firstLineChars="0"/>
              <w:jc w:val="center"/>
              <w:rPr>
                <w:rFonts w:ascii="Times New Roman"/>
                <w:sz w:val="18"/>
                <w:szCs w:val="18"/>
              </w:rPr>
            </w:pPr>
            <w:r>
              <w:rPr>
                <w:rFonts w:ascii="Times New Roman"/>
                <w:sz w:val="18"/>
                <w:szCs w:val="18"/>
              </w:rPr>
              <w:t>50</w:t>
            </w:r>
          </w:p>
          <w:p w14:paraId="1DA8A035">
            <w:pPr>
              <w:pStyle w:val="59"/>
              <w:ind w:firstLine="0" w:firstLineChars="0"/>
              <w:jc w:val="center"/>
              <w:rPr>
                <w:rFonts w:ascii="Times New Roman"/>
                <w:sz w:val="18"/>
                <w:szCs w:val="18"/>
              </w:rPr>
            </w:pPr>
            <w:r>
              <w:rPr>
                <w:rFonts w:ascii="Times New Roman"/>
                <w:sz w:val="18"/>
                <w:szCs w:val="18"/>
              </w:rPr>
              <w:t>50</w:t>
            </w:r>
          </w:p>
          <w:p w14:paraId="6916DB95">
            <w:pPr>
              <w:pStyle w:val="59"/>
              <w:ind w:firstLine="0" w:firstLineChars="0"/>
              <w:jc w:val="center"/>
              <w:rPr>
                <w:rFonts w:ascii="Times New Roman"/>
                <w:sz w:val="18"/>
                <w:szCs w:val="18"/>
              </w:rPr>
            </w:pPr>
            <w:r>
              <w:rPr>
                <w:rFonts w:ascii="Times New Roman"/>
                <w:sz w:val="18"/>
                <w:szCs w:val="18"/>
              </w:rPr>
              <w:t>50</w:t>
            </w:r>
          </w:p>
        </w:tc>
        <w:tc>
          <w:tcPr>
            <w:tcW w:w="1130" w:type="dxa"/>
            <w:vAlign w:val="center"/>
          </w:tcPr>
          <w:p w14:paraId="2CF2C42A">
            <w:pPr>
              <w:pStyle w:val="59"/>
              <w:ind w:firstLine="0" w:firstLineChars="0"/>
              <w:jc w:val="center"/>
              <w:rPr>
                <w:rFonts w:ascii="Times New Roman"/>
                <w:sz w:val="18"/>
                <w:szCs w:val="18"/>
              </w:rPr>
            </w:pPr>
            <w:r>
              <w:rPr>
                <w:rFonts w:ascii="Times New Roman"/>
                <w:sz w:val="18"/>
                <w:szCs w:val="18"/>
              </w:rPr>
              <w:t>100</w:t>
            </w:r>
          </w:p>
          <w:p w14:paraId="785C3B59">
            <w:pPr>
              <w:pStyle w:val="59"/>
              <w:ind w:firstLine="0" w:firstLineChars="0"/>
              <w:jc w:val="center"/>
              <w:rPr>
                <w:rFonts w:ascii="Times New Roman"/>
                <w:sz w:val="18"/>
                <w:szCs w:val="18"/>
              </w:rPr>
            </w:pPr>
            <w:r>
              <w:rPr>
                <w:rFonts w:ascii="Times New Roman"/>
                <w:sz w:val="18"/>
                <w:szCs w:val="18"/>
              </w:rPr>
              <w:t>20</w:t>
            </w:r>
          </w:p>
          <w:p w14:paraId="055DB91A">
            <w:pPr>
              <w:pStyle w:val="59"/>
              <w:ind w:firstLine="0" w:firstLineChars="0"/>
              <w:jc w:val="center"/>
              <w:rPr>
                <w:rFonts w:ascii="Times New Roman"/>
                <w:sz w:val="18"/>
                <w:szCs w:val="18"/>
              </w:rPr>
            </w:pPr>
            <w:r>
              <w:rPr>
                <w:rFonts w:ascii="Times New Roman"/>
                <w:sz w:val="18"/>
                <w:szCs w:val="18"/>
              </w:rPr>
              <w:t>25</w:t>
            </w:r>
          </w:p>
          <w:p w14:paraId="7792BFFB">
            <w:pPr>
              <w:pStyle w:val="59"/>
              <w:ind w:firstLine="0" w:firstLineChars="0"/>
              <w:jc w:val="center"/>
              <w:rPr>
                <w:rFonts w:ascii="Times New Roman"/>
                <w:sz w:val="18"/>
                <w:szCs w:val="18"/>
              </w:rPr>
            </w:pPr>
            <w:r>
              <w:rPr>
                <w:rFonts w:ascii="Times New Roman"/>
                <w:sz w:val="18"/>
                <w:szCs w:val="18"/>
              </w:rPr>
              <w:t>25</w:t>
            </w:r>
          </w:p>
          <w:p w14:paraId="53DC0076">
            <w:pPr>
              <w:pStyle w:val="59"/>
              <w:ind w:firstLine="0" w:firstLineChars="0"/>
              <w:jc w:val="center"/>
              <w:rPr>
                <w:rFonts w:ascii="Times New Roman"/>
                <w:sz w:val="18"/>
                <w:szCs w:val="18"/>
              </w:rPr>
            </w:pPr>
            <w:r>
              <w:rPr>
                <w:rFonts w:ascii="Times New Roman"/>
                <w:sz w:val="18"/>
                <w:szCs w:val="18"/>
              </w:rPr>
              <w:t>5 000</w:t>
            </w:r>
          </w:p>
        </w:tc>
        <w:tc>
          <w:tcPr>
            <w:tcW w:w="1360" w:type="dxa"/>
            <w:vAlign w:val="center"/>
          </w:tcPr>
          <w:p w14:paraId="3A0A8782">
            <w:pPr>
              <w:pStyle w:val="59"/>
              <w:ind w:firstLine="0" w:firstLineChars="0"/>
              <w:jc w:val="center"/>
              <w:rPr>
                <w:rFonts w:ascii="Times New Roman"/>
                <w:sz w:val="18"/>
                <w:szCs w:val="18"/>
              </w:rPr>
            </w:pPr>
            <w:r>
              <w:rPr>
                <w:rFonts w:ascii="Times New Roman"/>
                <w:sz w:val="18"/>
                <w:szCs w:val="18"/>
              </w:rPr>
              <w:t>1000</w:t>
            </w:r>
          </w:p>
        </w:tc>
        <w:tc>
          <w:tcPr>
            <w:tcW w:w="1932" w:type="dxa"/>
            <w:vAlign w:val="center"/>
          </w:tcPr>
          <w:p w14:paraId="40FD5B7F">
            <w:pPr>
              <w:pStyle w:val="59"/>
              <w:ind w:firstLine="0" w:firstLineChars="0"/>
              <w:jc w:val="center"/>
              <w:rPr>
                <w:rFonts w:ascii="Times New Roman"/>
                <w:sz w:val="18"/>
                <w:szCs w:val="18"/>
              </w:rPr>
            </w:pPr>
            <w:r>
              <w:rPr>
                <w:rFonts w:ascii="Times New Roman"/>
                <w:sz w:val="18"/>
                <w:szCs w:val="18"/>
              </w:rPr>
              <w:t>20</w:t>
            </w:r>
          </w:p>
        </w:tc>
      </w:tr>
      <w:tr w14:paraId="3D38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7"/>
          </w:tcPr>
          <w:p w14:paraId="27994BE5">
            <w:pPr>
              <w:pStyle w:val="59"/>
              <w:ind w:left="717" w:leftChars="170" w:hanging="360" w:hangingChars="200"/>
              <w:rPr>
                <w:rFonts w:ascii="Times New Roman"/>
                <w:sz w:val="18"/>
                <w:szCs w:val="18"/>
              </w:rPr>
            </w:pPr>
            <w:r>
              <w:rPr>
                <w:rFonts w:ascii="Times New Roman"/>
                <w:sz w:val="18"/>
                <w:szCs w:val="18"/>
              </w:rPr>
              <w:t>注1：配制母液时，大量元素 CaCl</w:t>
            </w:r>
            <w:r>
              <w:rPr>
                <w:rFonts w:ascii="Times New Roman"/>
                <w:sz w:val="18"/>
                <w:szCs w:val="18"/>
                <w:vertAlign w:val="subscript"/>
              </w:rPr>
              <w:t>2</w:t>
            </w:r>
            <w:r>
              <w:rPr>
                <w:rFonts w:ascii="Times New Roman"/>
                <w:sz w:val="18"/>
                <w:szCs w:val="18"/>
              </w:rPr>
              <w:t>﹒2H</w:t>
            </w:r>
            <w:r>
              <w:rPr>
                <w:rFonts w:ascii="Times New Roman"/>
                <w:sz w:val="18"/>
                <w:szCs w:val="18"/>
                <w:vertAlign w:val="subscript"/>
              </w:rPr>
              <w:t>2</w:t>
            </w:r>
            <w:r>
              <w:rPr>
                <w:rFonts w:ascii="Times New Roman"/>
                <w:sz w:val="18"/>
                <w:szCs w:val="18"/>
              </w:rPr>
              <w:t>O和MgSO</w:t>
            </w:r>
            <w:r>
              <w:rPr>
                <w:rFonts w:ascii="Times New Roman"/>
                <w:sz w:val="18"/>
                <w:szCs w:val="18"/>
                <w:vertAlign w:val="subscript"/>
              </w:rPr>
              <w:t>4</w:t>
            </w:r>
            <w:r>
              <w:rPr>
                <w:rFonts w:ascii="Times New Roman"/>
                <w:sz w:val="18"/>
                <w:szCs w:val="18"/>
              </w:rPr>
              <w:t>﹒7H</w:t>
            </w:r>
            <w:r>
              <w:rPr>
                <w:rFonts w:ascii="Times New Roman"/>
                <w:sz w:val="18"/>
                <w:szCs w:val="18"/>
                <w:vertAlign w:val="subscript"/>
              </w:rPr>
              <w:t>2</w:t>
            </w:r>
            <w:r>
              <w:rPr>
                <w:rFonts w:ascii="Times New Roman"/>
                <w:sz w:val="18"/>
                <w:szCs w:val="18"/>
              </w:rPr>
              <w:t>O 需单独配制；配制铁盐母液时应注意避免沉淀产生，需分别溶解 FeSO</w:t>
            </w:r>
            <w:r>
              <w:rPr>
                <w:rFonts w:ascii="Times New Roman"/>
                <w:sz w:val="18"/>
                <w:szCs w:val="18"/>
                <w:vertAlign w:val="subscript"/>
              </w:rPr>
              <w:t>4</w:t>
            </w:r>
            <w:r>
              <w:rPr>
                <w:rFonts w:ascii="Times New Roman"/>
                <w:sz w:val="18"/>
                <w:szCs w:val="18"/>
              </w:rPr>
              <w:t>﹒7H</w:t>
            </w:r>
            <w:r>
              <w:rPr>
                <w:rFonts w:ascii="Times New Roman"/>
                <w:sz w:val="18"/>
                <w:szCs w:val="18"/>
                <w:vertAlign w:val="subscript"/>
              </w:rPr>
              <w:t>2</w:t>
            </w:r>
            <w:r>
              <w:rPr>
                <w:rFonts w:ascii="Times New Roman"/>
                <w:sz w:val="18"/>
                <w:szCs w:val="18"/>
              </w:rPr>
              <w:t>O和Na</w:t>
            </w:r>
            <w:r>
              <w:rPr>
                <w:rFonts w:ascii="Times New Roman"/>
                <w:sz w:val="18"/>
                <w:szCs w:val="18"/>
                <w:vertAlign w:val="subscript"/>
              </w:rPr>
              <w:t>2</w:t>
            </w:r>
            <w:r>
              <w:rPr>
                <w:rFonts w:ascii="Times New Roman"/>
                <w:sz w:val="18"/>
                <w:szCs w:val="18"/>
              </w:rPr>
              <w:t>-EDTA 并不断搅拌，完全溶解并冷却后再混合，调整 pH 至 5.5，蒸馏水定容后用棕色瓶保存在冰箱中；各激素应分别配制。</w:t>
            </w:r>
          </w:p>
          <w:p w14:paraId="3F014790">
            <w:pPr>
              <w:pStyle w:val="59"/>
              <w:ind w:firstLine="360"/>
              <w:rPr>
                <w:rFonts w:ascii="Times New Roman"/>
                <w:sz w:val="18"/>
                <w:szCs w:val="18"/>
              </w:rPr>
            </w:pPr>
            <w:r>
              <w:rPr>
                <w:rFonts w:ascii="Times New Roman"/>
                <w:sz w:val="18"/>
                <w:szCs w:val="18"/>
              </w:rPr>
              <w:t>注2：诱导培养基为 MS+6-BA 4～6mg/L。</w:t>
            </w:r>
          </w:p>
          <w:p w14:paraId="2F234212">
            <w:pPr>
              <w:pStyle w:val="59"/>
              <w:ind w:firstLine="360"/>
              <w:rPr>
                <w:rFonts w:ascii="Times New Roman"/>
                <w:sz w:val="18"/>
                <w:szCs w:val="18"/>
              </w:rPr>
            </w:pPr>
            <w:r>
              <w:rPr>
                <w:rFonts w:ascii="Times New Roman"/>
                <w:sz w:val="18"/>
                <w:szCs w:val="18"/>
              </w:rPr>
              <w:t>注3：继代培养基为 MS+6-BA 2～4mg/L+NAA 0.01mg/L。</w:t>
            </w:r>
          </w:p>
          <w:p w14:paraId="76AA6F72">
            <w:pPr>
              <w:pStyle w:val="59"/>
              <w:ind w:firstLine="360"/>
              <w:rPr>
                <w:rFonts w:ascii="Times New Roman"/>
                <w:sz w:val="18"/>
                <w:szCs w:val="18"/>
              </w:rPr>
            </w:pPr>
            <w:r>
              <w:rPr>
                <w:rFonts w:ascii="Times New Roman"/>
                <w:sz w:val="18"/>
                <w:szCs w:val="18"/>
              </w:rPr>
              <w:t>注4：生根培养基为 MS+NAA 0.1～0.5mg/L。</w:t>
            </w:r>
          </w:p>
          <w:p w14:paraId="0382707D">
            <w:pPr>
              <w:pStyle w:val="59"/>
              <w:ind w:left="717" w:leftChars="170" w:hanging="360" w:hangingChars="200"/>
              <w:rPr>
                <w:rFonts w:ascii="Times New Roman"/>
                <w:sz w:val="18"/>
                <w:szCs w:val="18"/>
              </w:rPr>
            </w:pPr>
            <w:r>
              <w:rPr>
                <w:rFonts w:ascii="Times New Roman"/>
                <w:sz w:val="18"/>
                <w:szCs w:val="18"/>
              </w:rPr>
              <w:t>注5：配制培养基时，先从母液中取出所需的大量元素、微量元素、铁盐、有机物质放入容器中，然后加入 </w:t>
            </w:r>
            <w:r>
              <w:rPr>
                <w:rFonts w:hint="eastAsia" w:ascii="Times New Roman"/>
                <w:sz w:val="18"/>
                <w:szCs w:val="18"/>
              </w:rPr>
              <w:t>（</w:t>
            </w:r>
            <w:r>
              <w:rPr>
                <w:rFonts w:ascii="Times New Roman"/>
                <w:sz w:val="18"/>
                <w:szCs w:val="18"/>
              </w:rPr>
              <w:t>5～7</w:t>
            </w:r>
            <w:r>
              <w:rPr>
                <w:rFonts w:hint="eastAsia" w:ascii="Times New Roman"/>
                <w:sz w:val="18"/>
                <w:szCs w:val="18"/>
              </w:rPr>
              <w:t>）</w:t>
            </w:r>
            <w:r>
              <w:rPr>
                <w:rFonts w:ascii="Times New Roman"/>
                <w:sz w:val="18"/>
                <w:szCs w:val="18"/>
              </w:rPr>
              <w:t>g/L卡拉胶或</w:t>
            </w:r>
            <w:r>
              <w:rPr>
                <w:rFonts w:hint="eastAsia" w:ascii="Times New Roman"/>
                <w:sz w:val="18"/>
                <w:szCs w:val="18"/>
              </w:rPr>
              <w:t>（</w:t>
            </w:r>
            <w:r>
              <w:rPr>
                <w:rFonts w:ascii="Times New Roman"/>
                <w:sz w:val="18"/>
                <w:szCs w:val="18"/>
              </w:rPr>
              <w:t>3～5</w:t>
            </w:r>
            <w:r>
              <w:rPr>
                <w:rFonts w:hint="eastAsia" w:ascii="Times New Roman"/>
                <w:sz w:val="18"/>
                <w:szCs w:val="18"/>
              </w:rPr>
              <w:t>）</w:t>
            </w:r>
            <w:r>
              <w:rPr>
                <w:rFonts w:ascii="Times New Roman"/>
                <w:sz w:val="18"/>
                <w:szCs w:val="18"/>
              </w:rPr>
              <w:t>g/L琼脂和</w:t>
            </w:r>
            <w:r>
              <w:rPr>
                <w:rFonts w:hint="eastAsia" w:ascii="Times New Roman"/>
                <w:sz w:val="18"/>
                <w:szCs w:val="18"/>
              </w:rPr>
              <w:t>（</w:t>
            </w:r>
            <w:r>
              <w:rPr>
                <w:rFonts w:ascii="Times New Roman"/>
                <w:sz w:val="18"/>
                <w:szCs w:val="18"/>
              </w:rPr>
              <w:t>25～30</w:t>
            </w:r>
            <w:r>
              <w:rPr>
                <w:rFonts w:hint="eastAsia" w:ascii="Times New Roman"/>
                <w:sz w:val="18"/>
                <w:szCs w:val="18"/>
              </w:rPr>
              <w:t>）</w:t>
            </w:r>
            <w:r>
              <w:rPr>
                <w:rFonts w:ascii="Times New Roman"/>
                <w:sz w:val="18"/>
                <w:szCs w:val="18"/>
              </w:rPr>
              <w:t>g/L蔗糖，用蒸馏水定容至用量，搅拌均匀，用 0.1mol/L 氢氧化钠或者盐酸调节 pH 至 5.8。</w:t>
            </w:r>
          </w:p>
          <w:p w14:paraId="3E22197E">
            <w:pPr>
              <w:pStyle w:val="59"/>
              <w:ind w:left="717" w:leftChars="170" w:hanging="360" w:hangingChars="200"/>
              <w:rPr>
                <w:rFonts w:ascii="Times New Roman"/>
                <w:sz w:val="18"/>
                <w:szCs w:val="18"/>
              </w:rPr>
            </w:pPr>
          </w:p>
        </w:tc>
      </w:tr>
    </w:tbl>
    <w:p w14:paraId="609B9F6F">
      <w:pPr>
        <w:pStyle w:val="59"/>
        <w:ind w:firstLine="0" w:firstLineChars="0"/>
        <w:rPr>
          <w:rFonts w:hint="eastAsia"/>
        </w:rPr>
      </w:pPr>
    </w:p>
    <w:bookmarkEnd w:id="44"/>
    <w:p w14:paraId="4D404874">
      <w:pPr>
        <w:pStyle w:val="59"/>
        <w:ind w:firstLine="0" w:firstLineChars="0"/>
        <w:jc w:val="center"/>
      </w:pPr>
      <w:bookmarkStart w:id="45" w:name="BookMark8"/>
      <w:r>
        <w:rPr>
          <w:rFonts w:hint="eastAsia"/>
        </w:rPr>
        <w:drawing>
          <wp:inline distT="0" distB="0" distL="0" distR="0">
            <wp:extent cx="1485900" cy="317500"/>
            <wp:effectExtent l="0" t="0" r="7620" b="2540"/>
            <wp:docPr id="1784942715" name="图片 4"/>
            <wp:cNvGraphicFramePr/>
            <a:graphic xmlns:a="http://schemas.openxmlformats.org/drawingml/2006/main">
              <a:graphicData uri="http://schemas.openxmlformats.org/drawingml/2006/picture">
                <pic:pic xmlns:pic="http://schemas.openxmlformats.org/drawingml/2006/picture">
                  <pic:nvPicPr>
                    <pic:cNvPr id="1784942715" name="图片 4"/>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EF03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3A761">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9DC4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09236">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3504E">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242B9">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F936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DE95">
    <w:pPr>
      <w:pStyle w:val="64"/>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1559"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283" w:firstLine="0"/>
      </w:pPr>
      <w:rPr>
        <w:rFonts w:hint="eastAsia" w:ascii="黑体" w:eastAsia="黑体"/>
        <w:b w:val="0"/>
        <w:i w:val="0"/>
        <w:sz w:val="21"/>
      </w:rPr>
    </w:lvl>
    <w:lvl w:ilvl="2" w:tentative="0">
      <w:start w:val="1"/>
      <w:numFmt w:val="decimal"/>
      <w:pStyle w:val="108"/>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dit="forms" w:enforcement="1" w:cryptProviderType="rsaAES" w:cryptAlgorithmClass="hash" w:cryptAlgorithmType="typeAny" w:cryptAlgorithmSid="14" w:cryptSpinCount="100000" w:hash="sui16fuvAP6tcL5qeh3M2inWN7tWNP76tx1Wlo96pH1JsALGuMt45/7DOpnNakgyp/x1B6bC0Ktfi20EepNhyw==" w:salt="L+z6hiM/T7oLNDwaUg6TY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jMDQ1MDNiNzkwZjNiM2Q5YmQ5Y2UxNjkzYjNhOGU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0F6B93"/>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23"/>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386"/>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E3E"/>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7EE"/>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403"/>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012"/>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13E90FFF"/>
    <w:rsid w:val="198C7FDB"/>
    <w:rsid w:val="1FF7E3DF"/>
    <w:rsid w:val="1FFC41EE"/>
    <w:rsid w:val="26C82522"/>
    <w:rsid w:val="3E7AA756"/>
    <w:rsid w:val="3FFBCB93"/>
    <w:rsid w:val="4DA11BA7"/>
    <w:rsid w:val="57576B56"/>
    <w:rsid w:val="59782CA4"/>
    <w:rsid w:val="5C885101"/>
    <w:rsid w:val="602E34A0"/>
    <w:rsid w:val="67C55E2D"/>
    <w:rsid w:val="6F776F8E"/>
    <w:rsid w:val="6FAE548E"/>
    <w:rsid w:val="6FDFEDE4"/>
    <w:rsid w:val="76C1042D"/>
    <w:rsid w:val="78941569"/>
    <w:rsid w:val="79FF1706"/>
    <w:rsid w:val="7BE78F27"/>
    <w:rsid w:val="7D436AA0"/>
    <w:rsid w:val="7DAD14B9"/>
    <w:rsid w:val="7DF3EE4C"/>
    <w:rsid w:val="7F5F7BC4"/>
    <w:rsid w:val="7FBF8BA3"/>
    <w:rsid w:val="7FFB87D4"/>
    <w:rsid w:val="7FFBC82F"/>
    <w:rsid w:val="CFEFC287"/>
    <w:rsid w:val="D5AD7560"/>
    <w:rsid w:val="D94FFD67"/>
    <w:rsid w:val="DD7E604A"/>
    <w:rsid w:val="E3DD9078"/>
    <w:rsid w:val="E8FDE24F"/>
    <w:rsid w:val="EEFE9587"/>
    <w:rsid w:val="EFEF6465"/>
    <w:rsid w:val="F27F920A"/>
    <w:rsid w:val="F6DE61C3"/>
    <w:rsid w:val="F6FEA9AC"/>
    <w:rsid w:val="FBD782E0"/>
    <w:rsid w:val="FFD71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qFormat/>
    <w:uiPriority w:val="99"/>
    <w:rPr>
      <w:kern w:val="2"/>
      <w:sz w:val="21"/>
      <w:szCs w:val="21"/>
    </w:rPr>
  </w:style>
  <w:style w:type="character" w:customStyle="1" w:styleId="234">
    <w:name w:val="批注主题 字符"/>
    <w:basedOn w:val="233"/>
    <w:link w:val="27"/>
    <w:semiHidden/>
    <w:qFormat/>
    <w:uiPriority w:val="99"/>
    <w:rPr>
      <w:b/>
      <w:bCs/>
      <w:kern w:val="2"/>
      <w:sz w:val="21"/>
      <w:szCs w:val="21"/>
    </w:rPr>
  </w:style>
  <w:style w:type="paragraph" w:customStyle="1" w:styleId="235">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styleId="236">
    <w:name w:val="List Paragraph"/>
    <w:basedOn w:val="1"/>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B79A776454EF38B46795D84214E15"/>
        <w:style w:val=""/>
        <w:category>
          <w:name w:val="常规"/>
          <w:gallery w:val="placeholder"/>
        </w:category>
        <w:types>
          <w:type w:val="bbPlcHdr"/>
        </w:types>
        <w:behaviors>
          <w:behavior w:val="content"/>
        </w:behaviors>
        <w:description w:val=""/>
        <w:guid w:val="{4B3C1A72-EE6B-4253-9ABB-E0EE8AF39260}"/>
      </w:docPartPr>
      <w:docPartBody>
        <w:p w14:paraId="69C1B953">
          <w:pPr>
            <w:pStyle w:val="5"/>
            <w:rPr>
              <w:rFonts w:hint="eastAsia"/>
            </w:rPr>
          </w:pPr>
          <w:r>
            <w:rPr>
              <w:rStyle w:val="4"/>
              <w:rFonts w:hint="eastAsia"/>
            </w:rPr>
            <w:t>单击或点击此处输入文字。</w:t>
          </w:r>
        </w:p>
      </w:docPartBody>
    </w:docPart>
    <w:docPart>
      <w:docPartPr>
        <w:name w:val="7A21B029DB454661A2539B57A4F9B480"/>
        <w:style w:val=""/>
        <w:category>
          <w:name w:val="常规"/>
          <w:gallery w:val="placeholder"/>
        </w:category>
        <w:types>
          <w:type w:val="bbPlcHdr"/>
        </w:types>
        <w:behaviors>
          <w:behavior w:val="content"/>
        </w:behaviors>
        <w:description w:val=""/>
        <w:guid w:val="{FE08FA4B-E5F6-4CB1-A91C-52DF52419C59}"/>
      </w:docPartPr>
      <w:docPartBody>
        <w:p w14:paraId="02B5831C">
          <w:pPr>
            <w:pStyle w:val="6"/>
            <w:rPr>
              <w:rFonts w:hint="eastAsia"/>
            </w:rPr>
          </w:pPr>
          <w:r>
            <w:rPr>
              <w:rStyle w:val="4"/>
              <w:rFonts w:hint="eastAsia"/>
            </w:rPr>
            <w:t>选择一项。</w:t>
          </w:r>
        </w:p>
      </w:docPartBody>
    </w:docPart>
    <w:docPart>
      <w:docPartPr>
        <w:name w:val="21EE55D61E7C4217883D433F8BB1F88B"/>
        <w:style w:val=""/>
        <w:category>
          <w:name w:val="常规"/>
          <w:gallery w:val="placeholder"/>
        </w:category>
        <w:types>
          <w:type w:val="bbPlcHdr"/>
        </w:types>
        <w:behaviors>
          <w:behavior w:val="content"/>
        </w:behaviors>
        <w:description w:val=""/>
        <w:guid w:val="{0F2D943D-BEA3-4CA6-B836-F83F19D1838B}"/>
      </w:docPartPr>
      <w:docPartBody>
        <w:p w14:paraId="0E4BA9B2">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B595D"/>
    <w:rsid w:val="000D3261"/>
    <w:rsid w:val="000F6B93"/>
    <w:rsid w:val="00196583"/>
    <w:rsid w:val="002352F4"/>
    <w:rsid w:val="0035502A"/>
    <w:rsid w:val="00892CF3"/>
    <w:rsid w:val="008A327E"/>
    <w:rsid w:val="008B12A3"/>
    <w:rsid w:val="00992C40"/>
    <w:rsid w:val="00C51012"/>
    <w:rsid w:val="00C7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2EB79A776454EF38B46795D84214E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A21B029DB454661A2539B57A4F9B48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1EE55D61E7C4217883D433F8BB1F88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B2A3A-AC39-4B78-9AC6-4536B4575768}">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8</Pages>
  <Words>787</Words>
  <Characters>993</Characters>
  <Lines>33</Lines>
  <Paragraphs>9</Paragraphs>
  <TotalTime>58</TotalTime>
  <ScaleCrop>false</ScaleCrop>
  <LinksUpToDate>false</LinksUpToDate>
  <CharactersWithSpaces>1031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2024-04-06T02:04:00Z</dcterms:created>
  <dc:creator>WuYong</dc:creator>
  <dc:description>&lt;config cover="true" show_menu="true" version="1.0.0" doctype="SDKXY"&gt;_x000d_
&lt;/config&gt;</dc:description>
  <cp:lastModifiedBy>宁静致远</cp:lastModifiedBy>
  <cp:lastPrinted>2021-02-06T08:22:00Z</cp:lastPrinted>
  <dcterms:modified xsi:type="dcterms:W3CDTF">2025-05-15T08:09:46Z</dcterms:modified>
  <dc:title>团体标准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5E77AF74E2FA49F889E6563D74CC98CE_12</vt:lpwstr>
  </property>
  <property fmtid="{D5CDD505-2E9C-101B-9397-08002B2CF9AE}" pid="16" name="KSOTemplateDocerSaveRecord">
    <vt:lpwstr>eyJoZGlkIjoiOWI0ODFhYjE5NDJhODJmMGZlYjAyNTFiYTEzZGQzOTMiLCJ1c2VySWQiOiI0NDA5MTA2MTEifQ==</vt:lpwstr>
  </property>
</Properties>
</file>